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A5622" w14:textId="66F5ADD3" w:rsidR="00940097" w:rsidRPr="00CE0424" w:rsidRDefault="00940097" w:rsidP="00940097">
      <w:pPr>
        <w:pStyle w:val="3GPPHeader"/>
        <w:spacing w:after="0"/>
        <w:rPr>
          <w:sz w:val="32"/>
          <w:szCs w:val="32"/>
          <w:highlight w:val="yellow"/>
        </w:rPr>
      </w:pPr>
      <w:bookmarkStart w:id="0" w:name="OLE_LINK1"/>
      <w:bookmarkStart w:id="1" w:name="OLE_LINK2"/>
      <w:r w:rsidRPr="00CE0424">
        <w:t>3GPP TSG-RAN WG</w:t>
      </w:r>
      <w:r>
        <w:t>2</w:t>
      </w:r>
      <w:r w:rsidRPr="00CE0424">
        <w:t xml:space="preserve"> #</w:t>
      </w:r>
      <w:r w:rsidR="006C6061">
        <w:t>94</w:t>
      </w:r>
      <w:r w:rsidRPr="00CE0424">
        <w:tab/>
      </w:r>
      <w:proofErr w:type="spellStart"/>
      <w:r w:rsidR="00EA7AB3">
        <w:rPr>
          <w:sz w:val="32"/>
          <w:szCs w:val="32"/>
        </w:rPr>
        <w:t>Tdoc</w:t>
      </w:r>
      <w:proofErr w:type="spellEnd"/>
      <w:r w:rsidR="00EA7AB3">
        <w:rPr>
          <w:sz w:val="32"/>
          <w:szCs w:val="32"/>
        </w:rPr>
        <w:t xml:space="preserve"> </w:t>
      </w:r>
      <w:r w:rsidR="00EA7AB3" w:rsidRPr="00EA7AB3">
        <w:rPr>
          <w:sz w:val="32"/>
          <w:szCs w:val="32"/>
        </w:rPr>
        <w:t>R2-163993</w:t>
      </w:r>
    </w:p>
    <w:p w14:paraId="5CC74DA3" w14:textId="6D5D2BF0" w:rsidR="00940097" w:rsidRPr="00C515B8" w:rsidRDefault="006C6061" w:rsidP="00940097">
      <w:pPr>
        <w:pStyle w:val="3GPPHeader"/>
        <w:spacing w:after="0"/>
        <w:rPr>
          <w:lang w:val="en-US"/>
        </w:rPr>
      </w:pPr>
      <w:r w:rsidRPr="00C515B8">
        <w:rPr>
          <w:lang w:val="en-US"/>
        </w:rPr>
        <w:t>Nanjing</w:t>
      </w:r>
      <w:r w:rsidR="00940097" w:rsidRPr="00C515B8">
        <w:rPr>
          <w:lang w:val="en-US"/>
        </w:rPr>
        <w:t xml:space="preserve">, </w:t>
      </w:r>
      <w:r w:rsidRPr="00C515B8">
        <w:rPr>
          <w:lang w:val="en-US"/>
        </w:rPr>
        <w:t>China</w:t>
      </w:r>
      <w:r w:rsidR="00940097" w:rsidRPr="00C515B8">
        <w:rPr>
          <w:lang w:val="en-US"/>
        </w:rPr>
        <w:t xml:space="preserve">, </w:t>
      </w:r>
      <w:r w:rsidRPr="00C515B8">
        <w:rPr>
          <w:lang w:val="en-US"/>
        </w:rPr>
        <w:t>23 – 27</w:t>
      </w:r>
      <w:r w:rsidR="00940097" w:rsidRPr="00C515B8">
        <w:rPr>
          <w:lang w:val="en-US"/>
        </w:rPr>
        <w:t xml:space="preserve"> </w:t>
      </w:r>
      <w:r w:rsidRPr="00C515B8">
        <w:rPr>
          <w:lang w:val="en-US"/>
        </w:rPr>
        <w:t xml:space="preserve">May </w:t>
      </w:r>
      <w:r w:rsidR="00940097" w:rsidRPr="00C515B8">
        <w:rPr>
          <w:lang w:val="en-US"/>
        </w:rPr>
        <w:t>2016</w:t>
      </w:r>
    </w:p>
    <w:p w14:paraId="64FA46A5" w14:textId="77777777" w:rsidR="00940097" w:rsidRPr="00C515B8" w:rsidRDefault="00940097" w:rsidP="00940097">
      <w:pPr>
        <w:pStyle w:val="TdocHeader2"/>
        <w:rPr>
          <w:sz w:val="20"/>
          <w:lang w:val="en-US"/>
        </w:rPr>
      </w:pPr>
    </w:p>
    <w:p w14:paraId="70751F60" w14:textId="4A43065A" w:rsidR="00940097" w:rsidRPr="00C515B8" w:rsidRDefault="00940097" w:rsidP="00940097">
      <w:pPr>
        <w:pStyle w:val="TdocHeader2"/>
        <w:spacing w:before="120"/>
        <w:rPr>
          <w:sz w:val="20"/>
          <w:lang w:val="en-US"/>
        </w:rPr>
      </w:pPr>
      <w:r w:rsidRPr="00C515B8">
        <w:rPr>
          <w:sz w:val="20"/>
          <w:lang w:val="en-US"/>
        </w:rPr>
        <w:t>Agenda Item:</w:t>
      </w:r>
      <w:r w:rsidRPr="00C515B8">
        <w:rPr>
          <w:sz w:val="20"/>
          <w:lang w:val="en-US"/>
        </w:rPr>
        <w:tab/>
      </w:r>
      <w:r w:rsidR="00C26D9E">
        <w:rPr>
          <w:sz w:val="20"/>
          <w:lang w:val="en-US"/>
        </w:rPr>
        <w:t>9.4</w:t>
      </w:r>
      <w:r w:rsidR="00E653B1">
        <w:rPr>
          <w:sz w:val="20"/>
          <w:lang w:val="en-US"/>
        </w:rPr>
        <w:t>.1.2</w:t>
      </w:r>
    </w:p>
    <w:p w14:paraId="0D21A345" w14:textId="77777777" w:rsidR="00D00AE7" w:rsidRPr="008979AC" w:rsidRDefault="00D00AE7" w:rsidP="00940097">
      <w:pPr>
        <w:pStyle w:val="TdocHeader2"/>
        <w:spacing w:before="120"/>
        <w:rPr>
          <w:sz w:val="20"/>
          <w:lang w:val="en-US"/>
        </w:rPr>
      </w:pPr>
      <w:r w:rsidRPr="008979AC">
        <w:rPr>
          <w:sz w:val="20"/>
          <w:lang w:val="en-US"/>
        </w:rPr>
        <w:t xml:space="preserve">Source: </w:t>
      </w:r>
      <w:r w:rsidRPr="008979AC">
        <w:rPr>
          <w:sz w:val="20"/>
          <w:lang w:val="en-US"/>
        </w:rPr>
        <w:tab/>
        <w:t>Ericsson</w:t>
      </w:r>
    </w:p>
    <w:p w14:paraId="5E814404" w14:textId="74BB146E" w:rsidR="00D00AE7" w:rsidRPr="0027658D" w:rsidRDefault="00D00AE7" w:rsidP="00940097">
      <w:pPr>
        <w:pStyle w:val="TdocHeader2"/>
        <w:spacing w:before="120"/>
        <w:rPr>
          <w:sz w:val="20"/>
          <w:lang w:val="en-US"/>
        </w:rPr>
      </w:pPr>
      <w:r w:rsidRPr="007B0147">
        <w:rPr>
          <w:sz w:val="20"/>
          <w:lang w:val="en-US"/>
        </w:rPr>
        <w:t>Title:</w:t>
      </w:r>
      <w:r w:rsidRPr="007B0147">
        <w:rPr>
          <w:sz w:val="20"/>
          <w:lang w:val="en-US"/>
        </w:rPr>
        <w:tab/>
      </w:r>
      <w:r w:rsidR="009E79AE">
        <w:rPr>
          <w:sz w:val="20"/>
          <w:lang w:val="en-US"/>
        </w:rPr>
        <w:t xml:space="preserve">NR/LTE </w:t>
      </w:r>
      <w:r w:rsidR="006C6061">
        <w:rPr>
          <w:sz w:val="20"/>
          <w:lang w:val="en-US"/>
        </w:rPr>
        <w:t>t</w:t>
      </w:r>
      <w:r w:rsidR="00677351" w:rsidRPr="007B0147">
        <w:rPr>
          <w:sz w:val="20"/>
          <w:lang w:val="en-US"/>
        </w:rPr>
        <w:t xml:space="preserve">ight </w:t>
      </w:r>
      <w:r w:rsidR="006C6061">
        <w:rPr>
          <w:sz w:val="20"/>
          <w:lang w:val="en-US"/>
        </w:rPr>
        <w:t>interworking</w:t>
      </w:r>
      <w:r w:rsidR="00195BB9">
        <w:rPr>
          <w:sz w:val="20"/>
          <w:lang w:val="en-US"/>
        </w:rPr>
        <w:t>: CP requirement</w:t>
      </w:r>
      <w:r w:rsidR="00E5652E">
        <w:rPr>
          <w:sz w:val="20"/>
          <w:lang w:val="en-US"/>
        </w:rPr>
        <w:t>s</w:t>
      </w:r>
      <w:r w:rsidR="00195BB9">
        <w:rPr>
          <w:sz w:val="20"/>
          <w:lang w:val="en-US"/>
        </w:rPr>
        <w:t xml:space="preserve"> on Mobility and Dual Connectivity</w:t>
      </w:r>
    </w:p>
    <w:p w14:paraId="4D368497" w14:textId="77777777" w:rsidR="00D00AE7" w:rsidRPr="0027658D" w:rsidRDefault="00D00AE7" w:rsidP="00940097">
      <w:pPr>
        <w:pStyle w:val="TdocHeader2"/>
        <w:spacing w:before="120"/>
        <w:rPr>
          <w:sz w:val="20"/>
          <w:lang w:val="en-US"/>
        </w:rPr>
      </w:pPr>
      <w:r>
        <w:rPr>
          <w:sz w:val="20"/>
          <w:lang w:val="en-US"/>
        </w:rPr>
        <w:t>Document for:</w:t>
      </w:r>
      <w:r>
        <w:rPr>
          <w:sz w:val="20"/>
          <w:lang w:val="en-US"/>
        </w:rPr>
        <w:tab/>
        <w:t>Discussion and Decision</w:t>
      </w:r>
    </w:p>
    <w:p w14:paraId="5C09D013" w14:textId="77777777" w:rsidR="00940097" w:rsidRDefault="00940097" w:rsidP="00D00AE7">
      <w:pPr>
        <w:pStyle w:val="TdocHeader2"/>
        <w:rPr>
          <w:rFonts w:eastAsia="Times New Roman" w:cs="Arial"/>
          <w:bCs/>
          <w:noProof/>
          <w:sz w:val="20"/>
          <w:szCs w:val="18"/>
          <w:lang w:val="en-US" w:eastAsia="zh-CN"/>
        </w:rPr>
      </w:pPr>
      <w:bookmarkStart w:id="2" w:name="_Ref298777854"/>
      <w:bookmarkEnd w:id="0"/>
      <w:bookmarkEnd w:id="1"/>
    </w:p>
    <w:p w14:paraId="359D9649" w14:textId="026A7640" w:rsidR="00940097" w:rsidRPr="0027658D" w:rsidRDefault="00940097" w:rsidP="00D00AE7">
      <w:pPr>
        <w:pStyle w:val="TdocHeader2"/>
        <w:rPr>
          <w:sz w:val="20"/>
          <w:lang w:val="en-US"/>
        </w:rPr>
      </w:pPr>
    </w:p>
    <w:p w14:paraId="79D02B58" w14:textId="6B3BAA98" w:rsidR="0038254D" w:rsidRPr="0038254D" w:rsidRDefault="00D00AE7" w:rsidP="0038254D">
      <w:pPr>
        <w:pStyle w:val="Heading1"/>
        <w:pBdr>
          <w:top w:val="single" w:sz="12" w:space="0" w:color="auto"/>
        </w:pBdr>
        <w:rPr>
          <w:lang w:val="en-US"/>
        </w:rPr>
      </w:pPr>
      <w:r w:rsidRPr="00310B2F">
        <w:rPr>
          <w:lang w:val="en-US"/>
        </w:rPr>
        <w:t>Introduction</w:t>
      </w:r>
      <w:bookmarkEnd w:id="2"/>
    </w:p>
    <w:p w14:paraId="33773491" w14:textId="11B5855C" w:rsidR="001F5DBD" w:rsidRDefault="001F5DBD" w:rsidP="001F5DBD">
      <w:pPr>
        <w:tabs>
          <w:tab w:val="left" w:pos="6752"/>
        </w:tabs>
        <w:rPr>
          <w:szCs w:val="22"/>
        </w:rPr>
      </w:pPr>
      <w:r>
        <w:rPr>
          <w:szCs w:val="22"/>
        </w:rPr>
        <w:t>R</w:t>
      </w:r>
      <w:r w:rsidRPr="0057064B">
        <w:rPr>
          <w:szCs w:val="22"/>
        </w:rPr>
        <w:t>equirements</w:t>
      </w:r>
      <w:r>
        <w:rPr>
          <w:szCs w:val="22"/>
        </w:rPr>
        <w:t xml:space="preserve"> for the n</w:t>
      </w:r>
      <w:r w:rsidRPr="0057064B">
        <w:rPr>
          <w:szCs w:val="22"/>
        </w:rPr>
        <w:t>ew Radio Access Technology</w:t>
      </w:r>
      <w:r>
        <w:rPr>
          <w:szCs w:val="22"/>
        </w:rPr>
        <w:t xml:space="preserve"> (NR)</w:t>
      </w:r>
      <w:r w:rsidR="008024B8">
        <w:rPr>
          <w:szCs w:val="22"/>
        </w:rPr>
        <w:t xml:space="preserve"> [1] </w:t>
      </w:r>
      <w:r>
        <w:rPr>
          <w:szCs w:val="22"/>
        </w:rPr>
        <w:t xml:space="preserve">have been collected </w:t>
      </w:r>
      <w:r w:rsidRPr="0057064B">
        <w:rPr>
          <w:szCs w:val="22"/>
        </w:rPr>
        <w:t xml:space="preserve">and </w:t>
      </w:r>
      <w:r>
        <w:rPr>
          <w:szCs w:val="22"/>
        </w:rPr>
        <w:t xml:space="preserve">a new </w:t>
      </w:r>
      <w:r w:rsidRPr="0057064B">
        <w:rPr>
          <w:szCs w:val="22"/>
        </w:rPr>
        <w:t xml:space="preserve">study item </w:t>
      </w:r>
      <w:r w:rsidR="008024B8">
        <w:rPr>
          <w:szCs w:val="22"/>
        </w:rPr>
        <w:t>initiated in 3GPP [2]</w:t>
      </w:r>
      <w:r>
        <w:rPr>
          <w:szCs w:val="22"/>
        </w:rPr>
        <w:t xml:space="preserve">. </w:t>
      </w:r>
      <w:r w:rsidRPr="0057064B">
        <w:rPr>
          <w:szCs w:val="22"/>
        </w:rPr>
        <w:t xml:space="preserve">In parallel, </w:t>
      </w:r>
      <w:r>
        <w:rPr>
          <w:szCs w:val="22"/>
        </w:rPr>
        <w:t xml:space="preserve">it has been decided </w:t>
      </w:r>
      <w:r w:rsidRPr="0057064B">
        <w:rPr>
          <w:szCs w:val="22"/>
        </w:rPr>
        <w:t>to evolve LTE</w:t>
      </w:r>
      <w:r>
        <w:rPr>
          <w:szCs w:val="22"/>
        </w:rPr>
        <w:t xml:space="preserve"> which can be confirmed by the </w:t>
      </w:r>
      <w:r w:rsidRPr="0057064B">
        <w:rPr>
          <w:szCs w:val="22"/>
        </w:rPr>
        <w:t>large number of enhancements proposed for Rel-14, at some extent associated to what have been identified as 5G use cases such as Vehicle-to-</w:t>
      </w:r>
      <w:r>
        <w:rPr>
          <w:szCs w:val="22"/>
        </w:rPr>
        <w:t>X</w:t>
      </w:r>
      <w:r w:rsidRPr="0057064B">
        <w:rPr>
          <w:szCs w:val="22"/>
        </w:rPr>
        <w:t xml:space="preserve"> (V2X) and Narrow Band Internet-of-Things (NB-IoT). </w:t>
      </w:r>
      <w:r>
        <w:rPr>
          <w:szCs w:val="22"/>
        </w:rPr>
        <w:t xml:space="preserve">Furthermore, it has been decided at RAN-71 that the </w:t>
      </w:r>
      <w:r w:rsidRPr="00B344C8">
        <w:rPr>
          <w:szCs w:val="22"/>
        </w:rPr>
        <w:t>3GPP submission to IMT 2020 (aka 5G) will include</w:t>
      </w:r>
      <w:r>
        <w:rPr>
          <w:szCs w:val="22"/>
        </w:rPr>
        <w:t xml:space="preserve"> the </w:t>
      </w:r>
      <w:r w:rsidRPr="00B344C8">
        <w:rPr>
          <w:szCs w:val="22"/>
        </w:rPr>
        <w:t>“New Radio”</w:t>
      </w:r>
      <w:r>
        <w:rPr>
          <w:szCs w:val="22"/>
        </w:rPr>
        <w:t xml:space="preserve"> as well as </w:t>
      </w:r>
      <w:r w:rsidRPr="00B344C8">
        <w:rPr>
          <w:szCs w:val="22"/>
        </w:rPr>
        <w:t>LTE</w:t>
      </w:r>
      <w:r>
        <w:rPr>
          <w:szCs w:val="22"/>
        </w:rPr>
        <w:t>.</w:t>
      </w:r>
      <w:r w:rsidRPr="00B344C8">
        <w:rPr>
          <w:szCs w:val="22"/>
        </w:rPr>
        <w:t xml:space="preserve"> </w:t>
      </w:r>
      <w:r>
        <w:rPr>
          <w:szCs w:val="22"/>
        </w:rPr>
        <w:t>Hence</w:t>
      </w:r>
      <w:r w:rsidRPr="0057064B">
        <w:rPr>
          <w:szCs w:val="22"/>
        </w:rPr>
        <w:t xml:space="preserve">, it </w:t>
      </w:r>
      <w:r>
        <w:rPr>
          <w:szCs w:val="22"/>
        </w:rPr>
        <w:t xml:space="preserve">may be expected that </w:t>
      </w:r>
      <w:r w:rsidRPr="0057064B">
        <w:rPr>
          <w:szCs w:val="22"/>
        </w:rPr>
        <w:t xml:space="preserve">LTE </w:t>
      </w:r>
      <w:r>
        <w:rPr>
          <w:szCs w:val="22"/>
        </w:rPr>
        <w:t>will</w:t>
      </w:r>
      <w:r w:rsidRPr="0057064B">
        <w:rPr>
          <w:szCs w:val="22"/>
        </w:rPr>
        <w:t xml:space="preserve"> </w:t>
      </w:r>
      <w:r>
        <w:rPr>
          <w:szCs w:val="22"/>
        </w:rPr>
        <w:t xml:space="preserve">also fulfil a significant number of </w:t>
      </w:r>
      <w:r w:rsidRPr="0057064B">
        <w:rPr>
          <w:szCs w:val="22"/>
        </w:rPr>
        <w:t xml:space="preserve">the </w:t>
      </w:r>
      <w:r>
        <w:rPr>
          <w:szCs w:val="22"/>
        </w:rPr>
        <w:t xml:space="preserve">IMT 2020 </w:t>
      </w:r>
      <w:r w:rsidRPr="0057064B">
        <w:rPr>
          <w:szCs w:val="22"/>
        </w:rPr>
        <w:t>requirements</w:t>
      </w:r>
      <w:r>
        <w:rPr>
          <w:szCs w:val="22"/>
        </w:rPr>
        <w:t xml:space="preserve"> and will </w:t>
      </w:r>
      <w:r w:rsidRPr="0057064B">
        <w:rPr>
          <w:szCs w:val="22"/>
        </w:rPr>
        <w:t xml:space="preserve">be </w:t>
      </w:r>
      <w:r>
        <w:rPr>
          <w:szCs w:val="22"/>
        </w:rPr>
        <w:t xml:space="preserve">widely </w:t>
      </w:r>
      <w:r w:rsidRPr="0057064B">
        <w:rPr>
          <w:szCs w:val="22"/>
        </w:rPr>
        <w:t>deployed</w:t>
      </w:r>
      <w:r>
        <w:rPr>
          <w:szCs w:val="22"/>
        </w:rPr>
        <w:t xml:space="preserve"> by the time that NR reaches the market.</w:t>
      </w:r>
    </w:p>
    <w:p w14:paraId="37A00ECD" w14:textId="20329F0F" w:rsidR="001F5DBD" w:rsidRDefault="001F5DBD" w:rsidP="001F5DBD">
      <w:pPr>
        <w:tabs>
          <w:tab w:val="left" w:pos="6752"/>
        </w:tabs>
        <w:rPr>
          <w:lang w:val="en-US"/>
        </w:rPr>
      </w:pPr>
      <w:r w:rsidRPr="00834F8F">
        <w:rPr>
          <w:rFonts w:cs="Arial"/>
        </w:rPr>
        <w:t xml:space="preserve">In order to enable mobile operators to leverage as much as possible on their previous investments in LTE, a </w:t>
      </w:r>
      <w:r w:rsidRPr="006A1462">
        <w:rPr>
          <w:i/>
        </w:rPr>
        <w:t xml:space="preserve">tight </w:t>
      </w:r>
      <w:r w:rsidR="009E79AE">
        <w:rPr>
          <w:i/>
        </w:rPr>
        <w:t xml:space="preserve">interworking </w:t>
      </w:r>
      <w:r w:rsidRPr="006A1462">
        <w:rPr>
          <w:i/>
        </w:rPr>
        <w:t>between LTE and NR</w:t>
      </w:r>
      <w:r w:rsidRPr="00834F8F">
        <w:rPr>
          <w:rFonts w:cs="Arial"/>
        </w:rPr>
        <w:t xml:space="preserve"> has been extensively st</w:t>
      </w:r>
      <w:r w:rsidR="008024B8">
        <w:rPr>
          <w:rFonts w:cs="Arial"/>
        </w:rPr>
        <w:t xml:space="preserve">udied in the research community [3] </w:t>
      </w:r>
      <w:r w:rsidRPr="00834F8F">
        <w:rPr>
          <w:rFonts w:cs="Arial"/>
        </w:rPr>
        <w:t>and was captured as a requirement in</w:t>
      </w:r>
      <w:r w:rsidR="008024B8">
        <w:rPr>
          <w:rFonts w:cs="Arial"/>
        </w:rPr>
        <w:t xml:space="preserve"> [1]</w:t>
      </w:r>
      <w:r w:rsidRPr="00834F8F">
        <w:rPr>
          <w:rFonts w:cs="Arial"/>
        </w:rPr>
        <w:t>: “</w:t>
      </w:r>
      <w:r w:rsidRPr="00834F8F">
        <w:rPr>
          <w:i/>
        </w:rPr>
        <w:t>The RAN architecture shall support tight interwork</w:t>
      </w:r>
      <w:r w:rsidRPr="00834F8F">
        <w:rPr>
          <w:rFonts w:cs="Arial"/>
          <w:i/>
        </w:rPr>
        <w:t>ing between the new RAT and LTE</w:t>
      </w:r>
      <w:r w:rsidRPr="00834F8F">
        <w:rPr>
          <w:i/>
        </w:rPr>
        <w:t xml:space="preserve"> </w:t>
      </w:r>
      <w:r w:rsidRPr="00834F8F">
        <w:rPr>
          <w:rFonts w:cs="Arial"/>
          <w:i/>
        </w:rPr>
        <w:t>c</w:t>
      </w:r>
      <w:r w:rsidRPr="00834F8F">
        <w:rPr>
          <w:i/>
        </w:rPr>
        <w:t xml:space="preserve">onsidering high performing inter-RAT mobility and aggregation of data flows via at least dual connectivity between LTE and new RAT. This shall be supported for both collocated and non-collocated site deployments.” </w:t>
      </w:r>
      <w:r w:rsidRPr="00834F8F">
        <w:rPr>
          <w:rFonts w:cs="Arial"/>
        </w:rPr>
        <w:t xml:space="preserve">A corresponding objective was captured in the study item on New </w:t>
      </w:r>
      <w:r w:rsidR="00E80F1F">
        <w:rPr>
          <w:rFonts w:cs="Arial"/>
        </w:rPr>
        <w:t>RAT</w:t>
      </w:r>
      <w:r w:rsidR="008024B8">
        <w:rPr>
          <w:rFonts w:cs="Arial"/>
        </w:rPr>
        <w:t xml:space="preserve"> [2]</w:t>
      </w:r>
      <w:r w:rsidRPr="00834F8F">
        <w:rPr>
          <w:rFonts w:eastAsia="Malgun Gothic" w:cs="Arial"/>
          <w:bCs/>
          <w:lang w:eastAsia="ko-KR"/>
        </w:rPr>
        <w:t xml:space="preserve">. </w:t>
      </w:r>
    </w:p>
    <w:p w14:paraId="36E15C45" w14:textId="39AA295F" w:rsidR="009E79AE" w:rsidRPr="00E80F1F" w:rsidRDefault="001F5DBD" w:rsidP="00DF5EB5">
      <w:pPr>
        <w:tabs>
          <w:tab w:val="left" w:pos="6752"/>
        </w:tabs>
        <w:rPr>
          <w:lang w:val="en-US"/>
        </w:rPr>
      </w:pPr>
      <w:r w:rsidRPr="0057064B">
        <w:rPr>
          <w:rFonts w:cs="Arial"/>
          <w:szCs w:val="22"/>
        </w:rPr>
        <w:t xml:space="preserve">This contribution </w:t>
      </w:r>
      <w:r w:rsidR="00C871A4">
        <w:rPr>
          <w:rFonts w:cs="Arial"/>
          <w:szCs w:val="22"/>
        </w:rPr>
        <w:t xml:space="preserve">proposes design principles for </w:t>
      </w:r>
      <w:r w:rsidR="000346AF">
        <w:rPr>
          <w:rFonts w:cs="Arial"/>
          <w:szCs w:val="22"/>
        </w:rPr>
        <w:t xml:space="preserve">Control Plane (CP) design of the NR/LTE tight interworking solution </w:t>
      </w:r>
      <w:r w:rsidR="00C871A4">
        <w:rPr>
          <w:rFonts w:cs="Arial"/>
          <w:szCs w:val="22"/>
        </w:rPr>
        <w:t xml:space="preserve">to achieve a </w:t>
      </w:r>
      <w:r w:rsidR="009E79AE" w:rsidRPr="009E79AE">
        <w:rPr>
          <w:rFonts w:cs="Arial"/>
          <w:i/>
          <w:szCs w:val="22"/>
        </w:rPr>
        <w:t>high performing inter-RAT mobility</w:t>
      </w:r>
      <w:r w:rsidR="009E79AE">
        <w:rPr>
          <w:rFonts w:cs="Arial"/>
          <w:szCs w:val="22"/>
        </w:rPr>
        <w:t xml:space="preserve"> and </w:t>
      </w:r>
      <w:r w:rsidR="00C871A4">
        <w:rPr>
          <w:rFonts w:cs="Arial"/>
          <w:szCs w:val="22"/>
        </w:rPr>
        <w:t xml:space="preserve">an efficient </w:t>
      </w:r>
      <w:r w:rsidR="00C871A4" w:rsidRPr="000346AF">
        <w:rPr>
          <w:rFonts w:cs="Arial"/>
          <w:i/>
          <w:szCs w:val="22"/>
        </w:rPr>
        <w:t xml:space="preserve">multi-RAT </w:t>
      </w:r>
      <w:r w:rsidR="009E79AE" w:rsidRPr="000346AF">
        <w:rPr>
          <w:rFonts w:cs="Arial"/>
          <w:i/>
          <w:szCs w:val="22"/>
        </w:rPr>
        <w:t>aggregation via dual connectivity</w:t>
      </w:r>
      <w:r w:rsidR="00EA7AB3">
        <w:rPr>
          <w:rFonts w:cs="Arial"/>
          <w:szCs w:val="22"/>
        </w:rPr>
        <w:t>.</w:t>
      </w:r>
    </w:p>
    <w:p w14:paraId="1C3C6195" w14:textId="4D460D0E" w:rsidR="007325A6" w:rsidRPr="007325A6" w:rsidRDefault="00625808" w:rsidP="007325A6">
      <w:pPr>
        <w:pStyle w:val="Heading1"/>
      </w:pPr>
      <w:r>
        <w:t>Discussion</w:t>
      </w:r>
    </w:p>
    <w:p w14:paraId="15CB75FE" w14:textId="4D3161C3" w:rsidR="00E5597C" w:rsidRDefault="005616EF" w:rsidP="00CE1C43">
      <w:pPr>
        <w:pStyle w:val="Heading2"/>
      </w:pPr>
      <w:r>
        <w:t>High performing mobility</w:t>
      </w:r>
      <w:r w:rsidR="00255BE6">
        <w:t xml:space="preserve"> from LTE to NR and from NR to LTE</w:t>
      </w:r>
    </w:p>
    <w:p w14:paraId="3C03296A" w14:textId="212B8B46" w:rsidR="00CE1C43" w:rsidRPr="00CE1C43" w:rsidRDefault="00EA7AB3" w:rsidP="00CE1C43">
      <w:pPr>
        <w:pStyle w:val="Heading3"/>
      </w:pPr>
      <w:r>
        <w:t xml:space="preserve">CONNECTED </w:t>
      </w:r>
      <w:r w:rsidR="00CE1C43">
        <w:t>UEs</w:t>
      </w:r>
    </w:p>
    <w:p w14:paraId="342BE6CF" w14:textId="0755AC92" w:rsidR="00286425" w:rsidRDefault="00C515B8" w:rsidP="00E752AF">
      <w:pPr>
        <w:rPr>
          <w:szCs w:val="22"/>
          <w:lang w:val="en-US"/>
        </w:rPr>
      </w:pPr>
      <w:r>
        <w:rPr>
          <w:szCs w:val="22"/>
          <w:lang w:val="en-US"/>
        </w:rPr>
        <w:t xml:space="preserve">As captured in </w:t>
      </w:r>
      <w:r w:rsidR="008024B8">
        <w:rPr>
          <w:szCs w:val="22"/>
        </w:rPr>
        <w:t xml:space="preserve">[1][2] </w:t>
      </w:r>
      <w:r>
        <w:rPr>
          <w:szCs w:val="22"/>
          <w:lang w:val="en-US"/>
        </w:rPr>
        <w:t xml:space="preserve">the </w:t>
      </w:r>
      <w:r w:rsidR="00286425">
        <w:rPr>
          <w:szCs w:val="22"/>
          <w:lang w:val="en-US"/>
        </w:rPr>
        <w:t>NR-</w:t>
      </w:r>
      <w:r>
        <w:rPr>
          <w:szCs w:val="22"/>
          <w:lang w:val="en-US"/>
        </w:rPr>
        <w:t xml:space="preserve">LTE tight interworking solution should aim a </w:t>
      </w:r>
      <w:r w:rsidR="004E3E87">
        <w:rPr>
          <w:szCs w:val="22"/>
          <w:lang w:val="en-US"/>
        </w:rPr>
        <w:t>high performing inter-RAT mobility</w:t>
      </w:r>
      <w:r w:rsidR="00B15A2C">
        <w:rPr>
          <w:szCs w:val="22"/>
          <w:lang w:val="en-US"/>
        </w:rPr>
        <w:t xml:space="preserve">, even in the case where </w:t>
      </w:r>
      <w:r w:rsidR="005C45E3">
        <w:rPr>
          <w:szCs w:val="22"/>
          <w:lang w:val="en-US"/>
        </w:rPr>
        <w:t xml:space="preserve">NR/LTE </w:t>
      </w:r>
      <w:r w:rsidR="00B15A2C">
        <w:rPr>
          <w:szCs w:val="22"/>
          <w:lang w:val="en-US"/>
        </w:rPr>
        <w:t xml:space="preserve">dual connectivity is not </w:t>
      </w:r>
      <w:r w:rsidR="005C45E3">
        <w:rPr>
          <w:szCs w:val="22"/>
          <w:lang w:val="en-US"/>
        </w:rPr>
        <w:t xml:space="preserve">applicable e.g. for non-capable UEs and/or in scenarios the network does not find suitable. For active UEs, high performing inter-RAT mobility </w:t>
      </w:r>
      <w:r w:rsidR="003636B2">
        <w:rPr>
          <w:szCs w:val="22"/>
          <w:lang w:val="en-US"/>
        </w:rPr>
        <w:t xml:space="preserve">can be translated in </w:t>
      </w:r>
      <w:r w:rsidR="005C45E3">
        <w:rPr>
          <w:szCs w:val="22"/>
          <w:lang w:val="en-US"/>
        </w:rPr>
        <w:t xml:space="preserve">high robustness against </w:t>
      </w:r>
      <w:r w:rsidR="005C45E3" w:rsidRPr="0057064B">
        <w:rPr>
          <w:szCs w:val="22"/>
          <w:lang w:val="en-US"/>
        </w:rPr>
        <w:t>packet losses</w:t>
      </w:r>
      <w:r w:rsidR="005C45E3">
        <w:rPr>
          <w:szCs w:val="22"/>
          <w:lang w:val="en-US"/>
        </w:rPr>
        <w:t xml:space="preserve"> (lossless), handover (HO) and radio link failures (RLF)</w:t>
      </w:r>
      <w:r w:rsidR="005C45E3" w:rsidRPr="0057064B">
        <w:rPr>
          <w:szCs w:val="22"/>
          <w:lang w:val="en-US"/>
        </w:rPr>
        <w:t>;</w:t>
      </w:r>
      <w:r w:rsidR="005C45E3">
        <w:rPr>
          <w:szCs w:val="22"/>
          <w:lang w:val="en-US"/>
        </w:rPr>
        <w:t xml:space="preserve"> low </w:t>
      </w:r>
      <w:r w:rsidR="005C45E3" w:rsidRPr="0057064B">
        <w:rPr>
          <w:szCs w:val="22"/>
          <w:lang w:val="en-US"/>
        </w:rPr>
        <w:t>interruption delays</w:t>
      </w:r>
      <w:r w:rsidR="005C45E3">
        <w:rPr>
          <w:szCs w:val="22"/>
          <w:lang w:val="en-US"/>
        </w:rPr>
        <w:t xml:space="preserve"> (seamless) and low </w:t>
      </w:r>
      <w:r w:rsidR="005C45E3" w:rsidRPr="0057064B">
        <w:rPr>
          <w:szCs w:val="22"/>
          <w:lang w:val="en-US"/>
        </w:rPr>
        <w:t>signaling</w:t>
      </w:r>
      <w:r w:rsidR="005C45E3">
        <w:rPr>
          <w:szCs w:val="22"/>
          <w:lang w:val="en-US"/>
        </w:rPr>
        <w:t xml:space="preserve"> overhead in the </w:t>
      </w:r>
      <w:r w:rsidR="005C45E3" w:rsidRPr="00C338DE">
        <w:rPr>
          <w:szCs w:val="22"/>
          <w:lang w:val="en-US"/>
        </w:rPr>
        <w:t xml:space="preserve">radio interfaces </w:t>
      </w:r>
      <w:r w:rsidR="005C45E3">
        <w:rPr>
          <w:szCs w:val="22"/>
          <w:lang w:val="en-US"/>
        </w:rPr>
        <w:t>(</w:t>
      </w:r>
      <w:r w:rsidR="005C45E3" w:rsidRPr="00C338DE">
        <w:rPr>
          <w:szCs w:val="22"/>
          <w:lang w:val="en-US"/>
        </w:rPr>
        <w:t>i.e. LTE and NR</w:t>
      </w:r>
      <w:r w:rsidR="00E325CE">
        <w:rPr>
          <w:szCs w:val="22"/>
          <w:lang w:val="en-US"/>
        </w:rPr>
        <w:t xml:space="preserve">) and in the network side. </w:t>
      </w:r>
      <w:r w:rsidR="00286425">
        <w:rPr>
          <w:szCs w:val="22"/>
          <w:lang w:val="en-US"/>
        </w:rPr>
        <w:t xml:space="preserve">From the proposed deployments </w:t>
      </w:r>
      <w:r w:rsidR="00286425">
        <w:rPr>
          <w:lang w:val="en-US"/>
        </w:rPr>
        <w:t>for NR and LTE in the RAN2 email discussion “</w:t>
      </w:r>
      <w:r w:rsidR="00286425" w:rsidRPr="00441ECF">
        <w:rPr>
          <w:lang w:val="en-US"/>
        </w:rPr>
        <w:t>[93bis#23][NR] Deployment scenarios (DOCOMO)</w:t>
      </w:r>
      <w:r w:rsidR="00286425">
        <w:rPr>
          <w:lang w:val="en-US"/>
        </w:rPr>
        <w:t xml:space="preserve">” one can conclude that there will be scenarios </w:t>
      </w:r>
      <w:r w:rsidRPr="00C515B8">
        <w:rPr>
          <w:szCs w:val="22"/>
          <w:lang w:val="en-US"/>
        </w:rPr>
        <w:t xml:space="preserve">with </w:t>
      </w:r>
      <w:r w:rsidR="00364651">
        <w:rPr>
          <w:szCs w:val="22"/>
          <w:lang w:val="en-US"/>
        </w:rPr>
        <w:t>either</w:t>
      </w:r>
      <w:r w:rsidR="00286425">
        <w:rPr>
          <w:szCs w:val="22"/>
          <w:lang w:val="en-US"/>
        </w:rPr>
        <w:t xml:space="preserve"> LTE or NR as </w:t>
      </w:r>
      <w:r w:rsidRPr="00C515B8">
        <w:rPr>
          <w:szCs w:val="22"/>
          <w:lang w:val="en-US"/>
        </w:rPr>
        <w:t>coverage islands</w:t>
      </w:r>
      <w:r w:rsidR="00751031">
        <w:rPr>
          <w:szCs w:val="22"/>
          <w:lang w:val="en-US"/>
        </w:rPr>
        <w:t>, as it can be seen from scenarios 1.1 and 1.2 below.</w:t>
      </w:r>
    </w:p>
    <w:p w14:paraId="27B32DD5" w14:textId="77777777" w:rsidR="00286425" w:rsidRDefault="00286425" w:rsidP="00286425">
      <w:pPr>
        <w:pStyle w:val="TH"/>
        <w:rPr>
          <w:lang w:eastAsia="ja-JP"/>
        </w:rPr>
      </w:pPr>
      <w:r>
        <w:object w:dxaOrig="2820" w:dyaOrig="1671" w14:anchorId="5FDFA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6pt;height:83.55pt" o:ole="">
            <v:imagedata r:id="rId14" o:title=""/>
          </v:shape>
          <o:OLEObject Type="Embed" ProgID="Visio.Drawing.11" ShapeID="_x0000_i1025" DrawAspect="Content" ObjectID="_1524695900" r:id="rId15"/>
        </w:object>
      </w:r>
      <w:r>
        <w:rPr>
          <w:rFonts w:hint="eastAsia"/>
          <w:lang w:eastAsia="ja-JP"/>
        </w:rPr>
        <w:tab/>
      </w:r>
      <w:r>
        <w:rPr>
          <w:rFonts w:hint="eastAsia"/>
          <w:lang w:eastAsia="ja-JP"/>
        </w:rPr>
        <w:tab/>
      </w:r>
      <w:r>
        <w:rPr>
          <w:rFonts w:hint="eastAsia"/>
          <w:lang w:eastAsia="ja-JP"/>
        </w:rPr>
        <w:tab/>
      </w:r>
      <w:r>
        <w:rPr>
          <w:rFonts w:hint="eastAsia"/>
          <w:lang w:eastAsia="ja-JP"/>
        </w:rPr>
        <w:tab/>
      </w:r>
      <w:bookmarkStart w:id="3" w:name="_MON_1520923895"/>
      <w:bookmarkEnd w:id="3"/>
      <w:r>
        <w:object w:dxaOrig="3632" w:dyaOrig="1667" w14:anchorId="22E1884C">
          <v:shape id="_x0000_i1026" type="#_x0000_t75" style="width:181.35pt;height:83.55pt" o:ole="">
            <v:imagedata r:id="rId16" o:title=""/>
          </v:shape>
          <o:OLEObject Type="Embed" ProgID="Visio.Drawing.11" ShapeID="_x0000_i1026" DrawAspect="Content" ObjectID="_1524695901" r:id="rId17"/>
        </w:object>
      </w:r>
    </w:p>
    <w:p w14:paraId="1FF21887" w14:textId="77777777" w:rsidR="00286425" w:rsidRDefault="00286425" w:rsidP="00286425">
      <w:pPr>
        <w:pStyle w:val="B1"/>
      </w:pPr>
      <w:r w:rsidRPr="002E77D4">
        <w:rPr>
          <w:rFonts w:hint="eastAsia"/>
          <w:b/>
        </w:rPr>
        <w:t xml:space="preserve">Scenario </w:t>
      </w:r>
      <w:r>
        <w:rPr>
          <w:rFonts w:hint="eastAsia"/>
          <w:b/>
        </w:rPr>
        <w:t>1.</w:t>
      </w:r>
      <w:r w:rsidRPr="002E77D4">
        <w:rPr>
          <w:rFonts w:hint="eastAsia"/>
          <w:b/>
        </w:rPr>
        <w:t>1:</w:t>
      </w:r>
      <w:r>
        <w:rPr>
          <w:rFonts w:hint="eastAsia"/>
        </w:rPr>
        <w:tab/>
      </w:r>
      <w:r>
        <w:rPr>
          <w:rFonts w:hint="eastAsia"/>
        </w:rPr>
        <w:tab/>
        <w:t>LTE-NR collocated (</w:t>
      </w:r>
      <w:r w:rsidRPr="00AD75B9">
        <w:t>variants: LTE mi</w:t>
      </w:r>
      <w:r>
        <w:t>cro/NR micro</w:t>
      </w:r>
      <w:r>
        <w:rPr>
          <w:rFonts w:hint="eastAsia"/>
        </w:rPr>
        <w:t xml:space="preserve"> and LTE macro/ NR macro</w:t>
      </w:r>
      <w:r w:rsidRPr="00AD75B9">
        <w:t>)</w:t>
      </w:r>
      <w:r>
        <w:rPr>
          <w:rFonts w:hint="eastAsia"/>
        </w:rPr>
        <w:t xml:space="preserve"> </w:t>
      </w:r>
    </w:p>
    <w:p w14:paraId="25A3A5D9" w14:textId="77777777" w:rsidR="00286425" w:rsidRDefault="00286425" w:rsidP="00286425">
      <w:pPr>
        <w:pStyle w:val="TH"/>
      </w:pPr>
      <w:r>
        <w:object w:dxaOrig="3495" w:dyaOrig="1404" w14:anchorId="4136974A">
          <v:shape id="_x0000_i1027" type="#_x0000_t75" style="width:174.55pt;height:69.95pt" o:ole="">
            <v:imagedata r:id="rId18" o:title=""/>
          </v:shape>
          <o:OLEObject Type="Embed" ProgID="Visio.Drawing.11" ShapeID="_x0000_i1027" DrawAspect="Content" ObjectID="_1524695902" r:id="rId19"/>
        </w:object>
      </w:r>
      <w:r>
        <w:rPr>
          <w:rFonts w:hint="eastAsia"/>
          <w:lang w:eastAsia="ja-JP"/>
        </w:rPr>
        <w:tab/>
      </w:r>
      <w:r>
        <w:rPr>
          <w:rFonts w:hint="eastAsia"/>
          <w:lang w:eastAsia="ja-JP"/>
        </w:rPr>
        <w:tab/>
      </w:r>
      <w:r>
        <w:rPr>
          <w:rFonts w:hint="eastAsia"/>
          <w:lang w:eastAsia="ja-JP"/>
        </w:rPr>
        <w:tab/>
      </w:r>
      <w:bookmarkStart w:id="4" w:name="_MON_1521008262"/>
      <w:bookmarkEnd w:id="4"/>
      <w:r>
        <w:object w:dxaOrig="3495" w:dyaOrig="1445" w14:anchorId="6656B6E4">
          <v:shape id="_x0000_i1028" type="#_x0000_t75" style="width:174.55pt;height:1in" o:ole="">
            <v:imagedata r:id="rId20" o:title=""/>
          </v:shape>
          <o:OLEObject Type="Embed" ProgID="Visio.Drawing.11" ShapeID="_x0000_i1028" DrawAspect="Content" ObjectID="_1524695903" r:id="rId21"/>
        </w:object>
      </w:r>
    </w:p>
    <w:p w14:paraId="3F194CE2" w14:textId="5E1367C5" w:rsidR="00286425" w:rsidRPr="00286425" w:rsidRDefault="00286425" w:rsidP="00286425">
      <w:pPr>
        <w:pStyle w:val="B1"/>
      </w:pPr>
      <w:r w:rsidRPr="002E77D4">
        <w:rPr>
          <w:rFonts w:hint="eastAsia"/>
          <w:b/>
        </w:rPr>
        <w:t xml:space="preserve">Scenario </w:t>
      </w:r>
      <w:r>
        <w:rPr>
          <w:rFonts w:hint="eastAsia"/>
          <w:b/>
        </w:rPr>
        <w:t>1.</w:t>
      </w:r>
      <w:r w:rsidRPr="002E77D4">
        <w:rPr>
          <w:rFonts w:hint="eastAsia"/>
          <w:b/>
        </w:rPr>
        <w:t>2:</w:t>
      </w:r>
      <w:r>
        <w:rPr>
          <w:rFonts w:hint="eastAsia"/>
        </w:rPr>
        <w:tab/>
      </w:r>
      <w:r>
        <w:rPr>
          <w:rFonts w:hint="eastAsia"/>
        </w:rPr>
        <w:tab/>
        <w:t>LTE-NR non-collocated, overlapped (variants: LTE macro, NR micro and vice versa)</w:t>
      </w:r>
    </w:p>
    <w:p w14:paraId="120619F6" w14:textId="77777777" w:rsidR="00364651" w:rsidRDefault="00364651" w:rsidP="00364651">
      <w:pPr>
        <w:pStyle w:val="TH"/>
      </w:pPr>
      <w:r>
        <w:object w:dxaOrig="5208" w:dyaOrig="1188" w14:anchorId="11F57E97">
          <v:shape id="_x0000_i1029" type="#_x0000_t75" style="width:260.15pt;height:59.75pt" o:ole="">
            <v:imagedata r:id="rId22" o:title=""/>
          </v:shape>
          <o:OLEObject Type="Embed" ProgID="Visio.Drawing.11" ShapeID="_x0000_i1029" DrawAspect="Content" ObjectID="_1524695904" r:id="rId23"/>
        </w:object>
      </w:r>
    </w:p>
    <w:p w14:paraId="24C76EE1" w14:textId="1A254D9F" w:rsidR="00364651" w:rsidRPr="00751031" w:rsidRDefault="00364651" w:rsidP="00751031">
      <w:pPr>
        <w:pStyle w:val="B1"/>
      </w:pPr>
      <w:r w:rsidRPr="002E77D4">
        <w:rPr>
          <w:rFonts w:hint="eastAsia"/>
          <w:b/>
        </w:rPr>
        <w:t xml:space="preserve">Scenario </w:t>
      </w:r>
      <w:r>
        <w:rPr>
          <w:rFonts w:hint="eastAsia"/>
          <w:b/>
        </w:rPr>
        <w:t>1.</w:t>
      </w:r>
      <w:r w:rsidRPr="002E77D4">
        <w:rPr>
          <w:rFonts w:hint="eastAsia"/>
          <w:b/>
        </w:rPr>
        <w:t>3:</w:t>
      </w:r>
      <w:r>
        <w:rPr>
          <w:rFonts w:hint="eastAsia"/>
        </w:rPr>
        <w:tab/>
      </w:r>
      <w:r>
        <w:rPr>
          <w:rFonts w:hint="eastAsia"/>
        </w:rPr>
        <w:tab/>
        <w:t>LTE-NR non-collocated, non-overlapped (LTE outdoor macro, NR indoor micro)</w:t>
      </w:r>
    </w:p>
    <w:p w14:paraId="4BFC5CEF" w14:textId="6BE337E0" w:rsidR="005C45E3" w:rsidRDefault="00751031" w:rsidP="00B15A2C">
      <w:pPr>
        <w:rPr>
          <w:szCs w:val="22"/>
          <w:lang w:val="en-US"/>
        </w:rPr>
      </w:pPr>
      <w:r>
        <w:rPr>
          <w:szCs w:val="22"/>
          <w:lang w:val="en-US"/>
        </w:rPr>
        <w:t xml:space="preserve">For </w:t>
      </w:r>
      <w:r w:rsidR="003636B2">
        <w:rPr>
          <w:szCs w:val="22"/>
          <w:lang w:val="en-US"/>
        </w:rPr>
        <w:t xml:space="preserve">these </w:t>
      </w:r>
      <w:r>
        <w:rPr>
          <w:szCs w:val="22"/>
          <w:lang w:val="en-US"/>
        </w:rPr>
        <w:t xml:space="preserve">scenarios </w:t>
      </w:r>
      <w:r w:rsidR="003636B2">
        <w:rPr>
          <w:szCs w:val="22"/>
          <w:lang w:val="en-US"/>
        </w:rPr>
        <w:t xml:space="preserve">with overlapping coverage </w:t>
      </w:r>
      <w:r w:rsidR="00364651" w:rsidRPr="00C515B8">
        <w:rPr>
          <w:szCs w:val="22"/>
          <w:lang w:val="en-US"/>
        </w:rPr>
        <w:t xml:space="preserve">an active UE </w:t>
      </w:r>
      <w:r w:rsidR="00364651">
        <w:rPr>
          <w:szCs w:val="22"/>
          <w:lang w:val="en-US"/>
        </w:rPr>
        <w:t xml:space="preserve">within the LTE coverage and moving towards the </w:t>
      </w:r>
      <w:r w:rsidR="00B15A2C">
        <w:rPr>
          <w:szCs w:val="22"/>
          <w:lang w:val="en-US"/>
        </w:rPr>
        <w:t xml:space="preserve">NR </w:t>
      </w:r>
      <w:r>
        <w:rPr>
          <w:szCs w:val="22"/>
          <w:lang w:val="en-US"/>
        </w:rPr>
        <w:t xml:space="preserve">coverage </w:t>
      </w:r>
      <w:r w:rsidR="00364651">
        <w:rPr>
          <w:szCs w:val="22"/>
          <w:lang w:val="en-US"/>
        </w:rPr>
        <w:t xml:space="preserve">should </w:t>
      </w:r>
      <w:r>
        <w:rPr>
          <w:szCs w:val="22"/>
          <w:lang w:val="en-US"/>
        </w:rPr>
        <w:t xml:space="preserve">be able to </w:t>
      </w:r>
      <w:r w:rsidR="00364651">
        <w:rPr>
          <w:szCs w:val="22"/>
          <w:lang w:val="en-US"/>
        </w:rPr>
        <w:t>efficiently start to use the NR resources</w:t>
      </w:r>
      <w:r>
        <w:rPr>
          <w:szCs w:val="22"/>
          <w:lang w:val="en-US"/>
        </w:rPr>
        <w:t xml:space="preserve"> </w:t>
      </w:r>
      <w:r w:rsidR="005C45E3">
        <w:rPr>
          <w:szCs w:val="22"/>
          <w:lang w:val="en-US"/>
        </w:rPr>
        <w:t xml:space="preserve">to </w:t>
      </w:r>
      <w:r>
        <w:rPr>
          <w:szCs w:val="22"/>
          <w:lang w:val="en-US"/>
        </w:rPr>
        <w:t>benefit from the NR features (e.g. lower latency, higher reliability, etc.).</w:t>
      </w:r>
      <w:r w:rsidR="005C45E3">
        <w:rPr>
          <w:szCs w:val="22"/>
          <w:lang w:val="en-US"/>
        </w:rPr>
        <w:t xml:space="preserve"> </w:t>
      </w:r>
      <w:r w:rsidR="003636B2">
        <w:rPr>
          <w:szCs w:val="22"/>
          <w:lang w:val="en-US"/>
        </w:rPr>
        <w:t>Similarly</w:t>
      </w:r>
      <w:r w:rsidR="00B15A2C">
        <w:rPr>
          <w:szCs w:val="22"/>
          <w:lang w:val="en-US"/>
        </w:rPr>
        <w:t xml:space="preserve">, an </w:t>
      </w:r>
      <w:r w:rsidR="00B15A2C" w:rsidRPr="00C515B8">
        <w:rPr>
          <w:szCs w:val="22"/>
          <w:lang w:val="en-US"/>
        </w:rPr>
        <w:t xml:space="preserve">active UE </w:t>
      </w:r>
      <w:r w:rsidR="00B15A2C">
        <w:rPr>
          <w:szCs w:val="22"/>
          <w:lang w:val="en-US"/>
        </w:rPr>
        <w:t xml:space="preserve">within the NR coverage and moving towards the LTE </w:t>
      </w:r>
      <w:r w:rsidR="003636B2">
        <w:rPr>
          <w:szCs w:val="22"/>
          <w:lang w:val="en-US"/>
        </w:rPr>
        <w:t xml:space="preserve">coverage </w:t>
      </w:r>
      <w:r w:rsidR="00B15A2C">
        <w:rPr>
          <w:szCs w:val="22"/>
          <w:lang w:val="en-US"/>
        </w:rPr>
        <w:t xml:space="preserve">should be able to efficiently switch to LTE in the case the network finds it necessary e.g. </w:t>
      </w:r>
      <w:r w:rsidR="005C45E3">
        <w:rPr>
          <w:szCs w:val="22"/>
          <w:lang w:val="en-US"/>
        </w:rPr>
        <w:t xml:space="preserve">when </w:t>
      </w:r>
      <w:r w:rsidR="00B15A2C">
        <w:rPr>
          <w:szCs w:val="22"/>
          <w:lang w:val="en-US"/>
        </w:rPr>
        <w:t xml:space="preserve">load balance </w:t>
      </w:r>
      <w:r w:rsidR="005C45E3">
        <w:rPr>
          <w:szCs w:val="22"/>
          <w:lang w:val="en-US"/>
        </w:rPr>
        <w:t>should be performed</w:t>
      </w:r>
      <w:r w:rsidR="00B15A2C">
        <w:rPr>
          <w:szCs w:val="22"/>
          <w:lang w:val="en-US"/>
        </w:rPr>
        <w:t>.</w:t>
      </w:r>
    </w:p>
    <w:p w14:paraId="7F7CE0F1" w14:textId="504445C1" w:rsidR="003636B2" w:rsidRDefault="005C45E3" w:rsidP="008A7BCE">
      <w:pPr>
        <w:pStyle w:val="Proposal"/>
      </w:pPr>
      <w:bookmarkStart w:id="5" w:name="_Toc447314850"/>
      <w:bookmarkStart w:id="6" w:name="_Toc447323674"/>
      <w:bookmarkStart w:id="7" w:name="_Toc447325999"/>
      <w:bookmarkStart w:id="8" w:name="_Toc447326222"/>
      <w:r>
        <w:rPr>
          <w:lang w:val="en-US"/>
        </w:rPr>
        <w:t>Inter</w:t>
      </w:r>
      <w:r w:rsidR="00286425">
        <w:rPr>
          <w:lang w:val="en-US"/>
        </w:rPr>
        <w:t>-</w:t>
      </w:r>
      <w:r w:rsidR="00286425">
        <w:t xml:space="preserve">RAT </w:t>
      </w:r>
      <w:r>
        <w:t xml:space="preserve">mobility </w:t>
      </w:r>
      <w:r w:rsidR="00286425">
        <w:t xml:space="preserve">from LTE to NR and from NR to LTE </w:t>
      </w:r>
      <w:r w:rsidR="00C515B8" w:rsidRPr="002C1235">
        <w:t xml:space="preserve">should </w:t>
      </w:r>
      <w:r w:rsidR="003636B2">
        <w:t xml:space="preserve">have </w:t>
      </w:r>
      <w:r w:rsidR="00C515B8">
        <w:t>high robustness against packet losses and failures, low interruption delays and low signalling overhead</w:t>
      </w:r>
      <w:bookmarkEnd w:id="5"/>
      <w:bookmarkEnd w:id="6"/>
      <w:bookmarkEnd w:id="7"/>
      <w:bookmarkEnd w:id="8"/>
      <w:r w:rsidR="00286425">
        <w:t xml:space="preserve"> </w:t>
      </w:r>
      <w:r w:rsidR="00286425">
        <w:rPr>
          <w:szCs w:val="22"/>
          <w:lang w:val="en-US"/>
        </w:rPr>
        <w:t xml:space="preserve">including the case where the UE is not in </w:t>
      </w:r>
      <w:r w:rsidR="00146CBD">
        <w:rPr>
          <w:szCs w:val="22"/>
          <w:lang w:val="en-US"/>
        </w:rPr>
        <w:t>NR/LTE Dual C</w:t>
      </w:r>
      <w:r w:rsidR="00286425">
        <w:rPr>
          <w:szCs w:val="22"/>
          <w:lang w:val="en-US"/>
        </w:rPr>
        <w:t>onnectivity.</w:t>
      </w:r>
    </w:p>
    <w:p w14:paraId="540454E2" w14:textId="77777777" w:rsidR="00146CBD" w:rsidRDefault="00146CBD" w:rsidP="008A7BCE"/>
    <w:p w14:paraId="6F68021C" w14:textId="30D23F3C" w:rsidR="008A7BCE" w:rsidRPr="00023323" w:rsidRDefault="003E5523" w:rsidP="008A7BCE">
      <w:pPr>
        <w:rPr>
          <w:rFonts w:cs="Arial"/>
        </w:rPr>
      </w:pPr>
      <w:r>
        <w:t>One possible solution candidate for inter</w:t>
      </w:r>
      <w:r>
        <w:rPr>
          <w:rFonts w:cs="Arial"/>
        </w:rPr>
        <w:t xml:space="preserve">-RAT mobility could be </w:t>
      </w:r>
      <w:r w:rsidR="008A7BCE">
        <w:rPr>
          <w:rFonts w:cs="Arial"/>
        </w:rPr>
        <w:t>“release with re-direct”</w:t>
      </w:r>
      <w:r>
        <w:rPr>
          <w:rFonts w:cs="Arial"/>
        </w:rPr>
        <w:t>.</w:t>
      </w:r>
      <w:r w:rsidR="008A7BCE">
        <w:rPr>
          <w:rFonts w:cs="Arial"/>
        </w:rPr>
        <w:t xml:space="preserve"> </w:t>
      </w:r>
      <w:r>
        <w:rPr>
          <w:rFonts w:cs="Arial"/>
        </w:rPr>
        <w:t xml:space="preserve">However, it is well known that these would </w:t>
      </w:r>
      <w:r w:rsidR="004E3911">
        <w:rPr>
          <w:rFonts w:cs="Arial"/>
        </w:rPr>
        <w:t xml:space="preserve">lead to </w:t>
      </w:r>
      <w:r w:rsidR="008A7BCE">
        <w:rPr>
          <w:rFonts w:cs="Arial"/>
        </w:rPr>
        <w:t xml:space="preserve">service interruptions, packet losses, access delays, </w:t>
      </w:r>
      <w:r w:rsidR="008A7BCE" w:rsidRPr="00F51AA2">
        <w:rPr>
          <w:rFonts w:cs="Arial"/>
        </w:rPr>
        <w:t>since the UE essentially would need to re-attach at every transitions and it would not be possible to benefit from RAN level integration.</w:t>
      </w:r>
    </w:p>
    <w:p w14:paraId="62148772" w14:textId="063C656E" w:rsidR="003E5523" w:rsidRPr="003636B2" w:rsidRDefault="008A7BCE" w:rsidP="004E3E87">
      <w:pPr>
        <w:rPr>
          <w:rFonts w:cs="Arial"/>
          <w:b/>
        </w:rPr>
      </w:pPr>
      <w:r w:rsidRPr="003E5523">
        <w:rPr>
          <w:b/>
          <w:lang w:val="en-US"/>
        </w:rPr>
        <w:t xml:space="preserve">Observation 1: </w:t>
      </w:r>
      <w:r w:rsidR="003E5523" w:rsidRPr="003E5523">
        <w:rPr>
          <w:b/>
          <w:lang w:val="en-US"/>
        </w:rPr>
        <w:t>Inter-</w:t>
      </w:r>
      <w:r w:rsidR="003E5523" w:rsidRPr="003E5523">
        <w:rPr>
          <w:b/>
        </w:rPr>
        <w:t xml:space="preserve">RAT mobility </w:t>
      </w:r>
      <w:r w:rsidRPr="003E5523">
        <w:rPr>
          <w:rFonts w:cs="Arial"/>
          <w:b/>
        </w:rPr>
        <w:t>relying on “release with re-direct” cannot fulfil the requirements for high performing inter-RAT mobility</w:t>
      </w:r>
      <w:r w:rsidR="003E5523">
        <w:rPr>
          <w:rFonts w:cs="Arial"/>
          <w:b/>
        </w:rPr>
        <w:t xml:space="preserve"> from LTE to NR and from NR to LTE.</w:t>
      </w:r>
    </w:p>
    <w:p w14:paraId="527577AC" w14:textId="77777777" w:rsidR="003636B2" w:rsidRDefault="003636B2" w:rsidP="004E3E87"/>
    <w:p w14:paraId="7CF090DE" w14:textId="7282C249" w:rsidR="003E5523" w:rsidRDefault="003E5523" w:rsidP="004E3E87">
      <w:pPr>
        <w:rPr>
          <w:rFonts w:cs="Arial"/>
        </w:rPr>
      </w:pPr>
      <w:r>
        <w:t>Another solution candidate for inter</w:t>
      </w:r>
      <w:r>
        <w:rPr>
          <w:rFonts w:cs="Arial"/>
        </w:rPr>
        <w:t xml:space="preserve">-RAT mobility could be the existing </w:t>
      </w:r>
      <w:r w:rsidR="006C125B">
        <w:rPr>
          <w:rFonts w:cs="Arial"/>
        </w:rPr>
        <w:t>inter-RAT handovers via the CN</w:t>
      </w:r>
      <w:r w:rsidR="003636B2">
        <w:rPr>
          <w:rFonts w:cs="Arial"/>
        </w:rPr>
        <w:t>,</w:t>
      </w:r>
      <w:r w:rsidR="006C125B">
        <w:rPr>
          <w:rFonts w:cs="Arial"/>
        </w:rPr>
        <w:t xml:space="preserve"> </w:t>
      </w:r>
      <w:r w:rsidRPr="005616EF">
        <w:rPr>
          <w:szCs w:val="22"/>
          <w:lang w:val="en-US"/>
        </w:rPr>
        <w:t>currently</w:t>
      </w:r>
      <w:r w:rsidR="008024B8">
        <w:rPr>
          <w:szCs w:val="22"/>
          <w:lang w:val="en-US"/>
        </w:rPr>
        <w:t xml:space="preserve"> supported between LTE and UMTS [4]. </w:t>
      </w:r>
      <w:r>
        <w:rPr>
          <w:szCs w:val="22"/>
          <w:lang w:val="en-US"/>
        </w:rPr>
        <w:t xml:space="preserve">However, the procedure has been designed mainly to enable service continuity rather than high performing inter-RAT mobility. </w:t>
      </w:r>
      <w:r w:rsidR="0031271E">
        <w:rPr>
          <w:szCs w:val="22"/>
          <w:lang w:val="en-US"/>
        </w:rPr>
        <w:t xml:space="preserve">It </w:t>
      </w:r>
      <w:r w:rsidR="004E3E87">
        <w:rPr>
          <w:szCs w:val="22"/>
          <w:lang w:val="en-US"/>
        </w:rPr>
        <w:t xml:space="preserve">is </w:t>
      </w:r>
      <w:r>
        <w:rPr>
          <w:szCs w:val="22"/>
          <w:lang w:val="en-US"/>
        </w:rPr>
        <w:t xml:space="preserve">also </w:t>
      </w:r>
      <w:r w:rsidR="004E3E87">
        <w:rPr>
          <w:szCs w:val="22"/>
          <w:lang w:val="en-US"/>
        </w:rPr>
        <w:t xml:space="preserve">well known that </w:t>
      </w:r>
      <w:r w:rsidR="004E3E87">
        <w:rPr>
          <w:rFonts w:cs="Arial"/>
        </w:rPr>
        <w:t xml:space="preserve">CN </w:t>
      </w:r>
      <w:r w:rsidR="004E3E87" w:rsidRPr="00023323">
        <w:rPr>
          <w:rFonts w:cs="Arial"/>
        </w:rPr>
        <w:t xml:space="preserve">mobility is a quite complex procedure where the UE context is </w:t>
      </w:r>
      <w:r w:rsidR="004E3E87">
        <w:rPr>
          <w:rFonts w:cs="Arial"/>
        </w:rPr>
        <w:t>transferred and “translated”</w:t>
      </w:r>
      <w:r w:rsidR="004E3E87" w:rsidRPr="00023323">
        <w:rPr>
          <w:rFonts w:cs="Arial"/>
        </w:rPr>
        <w:t xml:space="preserve"> between one </w:t>
      </w:r>
      <w:r w:rsidR="004E3E87">
        <w:rPr>
          <w:rFonts w:cs="Arial"/>
        </w:rPr>
        <w:t>RAN/CN instance</w:t>
      </w:r>
      <w:r w:rsidR="004E3E87" w:rsidRPr="00023323">
        <w:rPr>
          <w:rFonts w:cs="Arial"/>
        </w:rPr>
        <w:t xml:space="preserve"> to the other</w:t>
      </w:r>
      <w:r w:rsidR="004E3E87">
        <w:rPr>
          <w:rFonts w:cs="Arial"/>
        </w:rPr>
        <w:t>, which impacts the UE, the</w:t>
      </w:r>
      <w:r w:rsidR="004E3E87" w:rsidRPr="00023323">
        <w:rPr>
          <w:rFonts w:cs="Arial"/>
        </w:rPr>
        <w:t xml:space="preserve"> RAN and </w:t>
      </w:r>
      <w:r w:rsidR="004E3E87">
        <w:rPr>
          <w:rFonts w:cs="Arial"/>
        </w:rPr>
        <w:t>the CN.</w:t>
      </w:r>
      <w:r w:rsidR="004E3E87">
        <w:rPr>
          <w:szCs w:val="22"/>
          <w:lang w:val="en-US"/>
        </w:rPr>
        <w:t xml:space="preserve"> </w:t>
      </w:r>
      <w:r w:rsidR="004E3E87" w:rsidRPr="00023323">
        <w:rPr>
          <w:rFonts w:cs="Arial"/>
        </w:rPr>
        <w:t xml:space="preserve">It also involves quite a lot of signalling </w:t>
      </w:r>
      <w:r w:rsidR="004E3E87">
        <w:rPr>
          <w:rFonts w:cs="Arial"/>
        </w:rPr>
        <w:t>between CN and RAN</w:t>
      </w:r>
      <w:r w:rsidR="004E3E87" w:rsidRPr="00023323">
        <w:rPr>
          <w:rFonts w:cs="Arial"/>
        </w:rPr>
        <w:t xml:space="preserve"> </w:t>
      </w:r>
      <w:r w:rsidR="0087751C">
        <w:rPr>
          <w:rFonts w:cs="Arial"/>
        </w:rPr>
        <w:t xml:space="preserve">which </w:t>
      </w:r>
      <w:r w:rsidR="004E3E87" w:rsidRPr="00023323">
        <w:rPr>
          <w:rFonts w:cs="Arial"/>
        </w:rPr>
        <w:t xml:space="preserve">limits the possibilities </w:t>
      </w:r>
      <w:r w:rsidR="004E3E87">
        <w:rPr>
          <w:rFonts w:cs="Arial"/>
        </w:rPr>
        <w:t>to benefit from co-located deployments</w:t>
      </w:r>
      <w:r w:rsidR="0087751C">
        <w:rPr>
          <w:rFonts w:cs="Arial"/>
        </w:rPr>
        <w:t xml:space="preserve"> and increases the chances of error cases and the complexity to fulfil</w:t>
      </w:r>
      <w:r>
        <w:rPr>
          <w:rFonts w:cs="Arial"/>
        </w:rPr>
        <w:t xml:space="preserve"> the requirements listed above.</w:t>
      </w:r>
      <w:r w:rsidR="00146CBD">
        <w:rPr>
          <w:rFonts w:cs="Arial"/>
        </w:rPr>
        <w:t xml:space="preserve"> More details about the impact of the CN-based mobility can be found in</w:t>
      </w:r>
      <w:r w:rsidR="008024B8">
        <w:rPr>
          <w:rFonts w:cs="Arial"/>
        </w:rPr>
        <w:t xml:space="preserve"> [5]</w:t>
      </w:r>
      <w:r w:rsidR="00146CBD">
        <w:rPr>
          <w:rFonts w:cs="Arial"/>
        </w:rPr>
        <w:t>.</w:t>
      </w:r>
    </w:p>
    <w:p w14:paraId="3621D03D" w14:textId="560BF138" w:rsidR="003E5523" w:rsidRPr="003E5523" w:rsidRDefault="003E5523" w:rsidP="004E3E87">
      <w:pPr>
        <w:rPr>
          <w:rFonts w:cs="Arial"/>
          <w:b/>
        </w:rPr>
      </w:pPr>
      <w:r>
        <w:rPr>
          <w:b/>
          <w:lang w:val="en-US"/>
        </w:rPr>
        <w:t>Observation 2</w:t>
      </w:r>
      <w:r w:rsidRPr="003E5523">
        <w:rPr>
          <w:b/>
          <w:lang w:val="en-US"/>
        </w:rPr>
        <w:t>: Inter-</w:t>
      </w:r>
      <w:r w:rsidRPr="003E5523">
        <w:rPr>
          <w:b/>
        </w:rPr>
        <w:t xml:space="preserve">RAT mobility </w:t>
      </w:r>
      <w:r w:rsidRPr="003E5523">
        <w:rPr>
          <w:rFonts w:cs="Arial"/>
          <w:b/>
        </w:rPr>
        <w:t xml:space="preserve">relying on </w:t>
      </w:r>
      <w:r>
        <w:rPr>
          <w:rFonts w:cs="Arial"/>
          <w:b/>
        </w:rPr>
        <w:t>CN-based inter-RAT handover, as between UMTS and LTE, involves a lot of network signalling which would make very challenging to fulfil the requirements for a high performing inter-RAT mobility procedure.</w:t>
      </w:r>
    </w:p>
    <w:p w14:paraId="2C968151" w14:textId="77777777" w:rsidR="006C125B" w:rsidRDefault="006C125B" w:rsidP="004E3E87">
      <w:pPr>
        <w:rPr>
          <w:rFonts w:cs="Arial"/>
        </w:rPr>
      </w:pPr>
    </w:p>
    <w:p w14:paraId="7ADC613D" w14:textId="53409B6D" w:rsidR="006C125B" w:rsidRPr="00F16178" w:rsidRDefault="006C125B" w:rsidP="004E3E87">
      <w:pPr>
        <w:rPr>
          <w:rFonts w:cs="Arial"/>
        </w:rPr>
      </w:pPr>
      <w:r>
        <w:rPr>
          <w:rFonts w:cs="Arial"/>
        </w:rPr>
        <w:t>The third solution candidate and the most promising to fulfil the high performing requirements is an inter-RAT mobility procedure RAN-based</w:t>
      </w:r>
      <w:r w:rsidR="00F16178">
        <w:rPr>
          <w:rFonts w:cs="Arial"/>
        </w:rPr>
        <w:t xml:space="preserve"> which </w:t>
      </w:r>
      <w:r w:rsidR="00F16178" w:rsidRPr="005616EF">
        <w:rPr>
          <w:szCs w:val="22"/>
          <w:lang w:val="en-US"/>
        </w:rPr>
        <w:t xml:space="preserve">has the advantage of benefiting from the possibility to have the </w:t>
      </w:r>
      <w:r w:rsidR="00F16178">
        <w:rPr>
          <w:szCs w:val="22"/>
          <w:lang w:val="en-US"/>
        </w:rPr>
        <w:t xml:space="preserve">UE context </w:t>
      </w:r>
      <w:r w:rsidR="00F16178" w:rsidRPr="005616EF">
        <w:rPr>
          <w:szCs w:val="22"/>
          <w:lang w:val="en-US"/>
        </w:rPr>
        <w:t>being continued which might reduce the interruption delays</w:t>
      </w:r>
      <w:r w:rsidR="00F16178">
        <w:rPr>
          <w:szCs w:val="22"/>
          <w:lang w:val="en-US"/>
        </w:rPr>
        <w:t xml:space="preserve"> and UE complexity</w:t>
      </w:r>
      <w:r w:rsidR="00F16178" w:rsidRPr="005616EF">
        <w:rPr>
          <w:szCs w:val="22"/>
          <w:lang w:val="en-US"/>
        </w:rPr>
        <w:t>. Intra-</w:t>
      </w:r>
      <w:r w:rsidR="00F16178">
        <w:rPr>
          <w:szCs w:val="22"/>
          <w:lang w:val="en-US"/>
        </w:rPr>
        <w:t>eNB</w:t>
      </w:r>
      <w:r w:rsidR="00F16178" w:rsidRPr="005616EF">
        <w:rPr>
          <w:szCs w:val="22"/>
          <w:lang w:val="en-US"/>
        </w:rPr>
        <w:t xml:space="preserve"> mobility</w:t>
      </w:r>
      <w:r w:rsidR="00F16178">
        <w:rPr>
          <w:szCs w:val="22"/>
          <w:lang w:val="en-US"/>
        </w:rPr>
        <w:t>, for example,</w:t>
      </w:r>
      <w:r w:rsidR="00F16178" w:rsidRPr="005616EF">
        <w:rPr>
          <w:szCs w:val="22"/>
          <w:lang w:val="en-US"/>
        </w:rPr>
        <w:t xml:space="preserve"> benefits from the fact that a common Core Network connection (for both UP and CP, S1-</w:t>
      </w:r>
      <w:r w:rsidR="00F16178">
        <w:rPr>
          <w:szCs w:val="22"/>
          <w:lang w:val="en-US"/>
        </w:rPr>
        <w:t>MME</w:t>
      </w:r>
      <w:r w:rsidR="00F16178" w:rsidRPr="005616EF">
        <w:rPr>
          <w:szCs w:val="22"/>
          <w:lang w:val="en-US"/>
        </w:rPr>
        <w:t xml:space="preserve"> and S1-U) exists so that intra</w:t>
      </w:r>
      <w:r w:rsidR="00F16178">
        <w:rPr>
          <w:szCs w:val="22"/>
          <w:lang w:val="en-US"/>
        </w:rPr>
        <w:t>-eNB</w:t>
      </w:r>
      <w:r w:rsidR="00F16178" w:rsidRPr="005616EF">
        <w:rPr>
          <w:szCs w:val="22"/>
          <w:lang w:val="en-US"/>
        </w:rPr>
        <w:t xml:space="preserve"> handovers </w:t>
      </w:r>
      <w:r w:rsidR="00F16178">
        <w:rPr>
          <w:szCs w:val="22"/>
          <w:lang w:val="en-US"/>
        </w:rPr>
        <w:t>can occur without any CN/RAN signaling i.e. possibly transparent to the CN</w:t>
      </w:r>
      <w:r w:rsidR="00F16178" w:rsidRPr="005616EF">
        <w:rPr>
          <w:szCs w:val="22"/>
          <w:lang w:val="en-US"/>
        </w:rPr>
        <w:t>. That would be an advantage especially in co-lo</w:t>
      </w:r>
      <w:r w:rsidR="00146CBD">
        <w:rPr>
          <w:szCs w:val="22"/>
          <w:lang w:val="en-US"/>
        </w:rPr>
        <w:t>cated deployments of LTE and NR, scenario that should be supported.</w:t>
      </w:r>
      <w:r w:rsidR="00F16178">
        <w:rPr>
          <w:rFonts w:cs="Arial"/>
        </w:rPr>
        <w:t xml:space="preserve"> </w:t>
      </w:r>
      <w:r>
        <w:rPr>
          <w:rFonts w:cs="Arial"/>
        </w:rPr>
        <w:t>E</w:t>
      </w:r>
      <w:r w:rsidR="00146CBD">
        <w:rPr>
          <w:rFonts w:cs="Arial"/>
        </w:rPr>
        <w:t xml:space="preserve">ven without further analyses, </w:t>
      </w:r>
      <w:r>
        <w:rPr>
          <w:rFonts w:cs="Arial"/>
        </w:rPr>
        <w:t>t</w:t>
      </w:r>
      <w:r w:rsidR="0031271E">
        <w:rPr>
          <w:rFonts w:cs="Arial"/>
        </w:rPr>
        <w:t xml:space="preserve">erms such as </w:t>
      </w:r>
      <w:r w:rsidR="004E3E87">
        <w:rPr>
          <w:i/>
          <w:szCs w:val="22"/>
          <w:lang w:val="en-US"/>
        </w:rPr>
        <w:t>t</w:t>
      </w:r>
      <w:r w:rsidR="004E3E87" w:rsidRPr="004E3E87">
        <w:rPr>
          <w:i/>
          <w:szCs w:val="22"/>
          <w:lang w:val="en-US"/>
        </w:rPr>
        <w:t>ight interworking</w:t>
      </w:r>
      <w:r w:rsidR="004E3E87">
        <w:rPr>
          <w:szCs w:val="22"/>
          <w:lang w:val="en-US"/>
        </w:rPr>
        <w:t xml:space="preserve"> and </w:t>
      </w:r>
      <w:r w:rsidR="004E3E87" w:rsidRPr="004E3E87">
        <w:rPr>
          <w:i/>
          <w:szCs w:val="22"/>
          <w:lang w:val="en-US"/>
        </w:rPr>
        <w:t>high performing</w:t>
      </w:r>
      <w:r w:rsidR="0087751C">
        <w:rPr>
          <w:i/>
          <w:szCs w:val="22"/>
          <w:lang w:val="en-US"/>
        </w:rPr>
        <w:t xml:space="preserve"> mobility</w:t>
      </w:r>
      <w:r w:rsidR="0031271E">
        <w:rPr>
          <w:i/>
          <w:szCs w:val="22"/>
          <w:lang w:val="en-US"/>
        </w:rPr>
        <w:t xml:space="preserve"> </w:t>
      </w:r>
      <w:r w:rsidR="008024B8">
        <w:rPr>
          <w:szCs w:val="22"/>
        </w:rPr>
        <w:t>[1</w:t>
      </w:r>
      <w:proofErr w:type="gramStart"/>
      <w:r w:rsidR="008024B8">
        <w:rPr>
          <w:szCs w:val="22"/>
        </w:rPr>
        <w:t>][</w:t>
      </w:r>
      <w:proofErr w:type="gramEnd"/>
      <w:r w:rsidR="008024B8">
        <w:rPr>
          <w:szCs w:val="22"/>
        </w:rPr>
        <w:t xml:space="preserve">2] </w:t>
      </w:r>
      <w:r w:rsidR="004E3E87">
        <w:rPr>
          <w:szCs w:val="22"/>
          <w:lang w:val="en-US"/>
        </w:rPr>
        <w:t xml:space="preserve">obviously suggest something </w:t>
      </w:r>
      <w:r>
        <w:rPr>
          <w:szCs w:val="22"/>
          <w:lang w:val="en-US"/>
        </w:rPr>
        <w:t>“</w:t>
      </w:r>
      <w:r w:rsidR="004E3E87">
        <w:rPr>
          <w:szCs w:val="22"/>
          <w:lang w:val="en-US"/>
        </w:rPr>
        <w:t>better</w:t>
      </w:r>
      <w:r>
        <w:rPr>
          <w:szCs w:val="22"/>
          <w:lang w:val="en-US"/>
        </w:rPr>
        <w:t>”</w:t>
      </w:r>
      <w:r w:rsidR="004E3E87">
        <w:rPr>
          <w:szCs w:val="22"/>
          <w:lang w:val="en-US"/>
        </w:rPr>
        <w:t xml:space="preserve"> </w:t>
      </w:r>
      <w:r>
        <w:rPr>
          <w:szCs w:val="22"/>
          <w:lang w:val="en-US"/>
        </w:rPr>
        <w:t xml:space="preserve">for LTE and NR interworking. In addition to these, solutions could be inspired in the intra-RAT mobility solutions studied in the past designed to support high robustness against </w:t>
      </w:r>
      <w:r w:rsidRPr="0057064B">
        <w:rPr>
          <w:szCs w:val="22"/>
          <w:lang w:val="en-US"/>
        </w:rPr>
        <w:t>packet losses</w:t>
      </w:r>
      <w:r>
        <w:rPr>
          <w:szCs w:val="22"/>
          <w:lang w:val="en-US"/>
        </w:rPr>
        <w:t xml:space="preserve"> (lossless), handover (HO) and radio link failures (RLF)</w:t>
      </w:r>
      <w:r w:rsidRPr="0057064B">
        <w:rPr>
          <w:szCs w:val="22"/>
          <w:lang w:val="en-US"/>
        </w:rPr>
        <w:t>;</w:t>
      </w:r>
      <w:r>
        <w:rPr>
          <w:szCs w:val="22"/>
          <w:lang w:val="en-US"/>
        </w:rPr>
        <w:t xml:space="preserve"> low </w:t>
      </w:r>
      <w:r w:rsidRPr="0057064B">
        <w:rPr>
          <w:szCs w:val="22"/>
          <w:lang w:val="en-US"/>
        </w:rPr>
        <w:lastRenderedPageBreak/>
        <w:t>interruption delays</w:t>
      </w:r>
      <w:r>
        <w:rPr>
          <w:szCs w:val="22"/>
          <w:lang w:val="en-US"/>
        </w:rPr>
        <w:t xml:space="preserve"> (seamless) and low </w:t>
      </w:r>
      <w:r w:rsidRPr="0057064B">
        <w:rPr>
          <w:szCs w:val="22"/>
          <w:lang w:val="en-US"/>
        </w:rPr>
        <w:t>signaling</w:t>
      </w:r>
      <w:r>
        <w:rPr>
          <w:szCs w:val="22"/>
          <w:lang w:val="en-US"/>
        </w:rPr>
        <w:t xml:space="preserve"> overhead in the </w:t>
      </w:r>
      <w:r w:rsidRPr="00C338DE">
        <w:rPr>
          <w:szCs w:val="22"/>
          <w:lang w:val="en-US"/>
        </w:rPr>
        <w:t xml:space="preserve">radio interfaces </w:t>
      </w:r>
      <w:r>
        <w:rPr>
          <w:szCs w:val="22"/>
          <w:lang w:val="en-US"/>
        </w:rPr>
        <w:t>(</w:t>
      </w:r>
      <w:r w:rsidRPr="00C338DE">
        <w:rPr>
          <w:szCs w:val="22"/>
          <w:lang w:val="en-US"/>
        </w:rPr>
        <w:t>i.e. LTE and NR</w:t>
      </w:r>
      <w:r>
        <w:rPr>
          <w:szCs w:val="22"/>
          <w:lang w:val="en-US"/>
        </w:rPr>
        <w:t>) and in the network side.</w:t>
      </w:r>
    </w:p>
    <w:p w14:paraId="3F9B4A36" w14:textId="709780D5" w:rsidR="006C125B" w:rsidRDefault="003E5523" w:rsidP="003E5523">
      <w:pPr>
        <w:pStyle w:val="Proposal"/>
      </w:pPr>
      <w:r>
        <w:t>I</w:t>
      </w:r>
      <w:r w:rsidR="0087751C" w:rsidRPr="002C1235">
        <w:t xml:space="preserve">nter-RAT mobility </w:t>
      </w:r>
      <w:r>
        <w:t xml:space="preserve">from LTE to NR and from NR to LTE </w:t>
      </w:r>
      <w:r w:rsidR="0087751C">
        <w:t xml:space="preserve">should be </w:t>
      </w:r>
      <w:r w:rsidR="006C125B">
        <w:t>RAN-based</w:t>
      </w:r>
      <w:r w:rsidR="00C94819">
        <w:t>.</w:t>
      </w:r>
    </w:p>
    <w:p w14:paraId="1825C4E4" w14:textId="77777777" w:rsidR="0031271E" w:rsidRPr="004E3911" w:rsidRDefault="0031271E" w:rsidP="003E5523">
      <w:pPr>
        <w:pStyle w:val="Proposal"/>
        <w:numPr>
          <w:ilvl w:val="0"/>
          <w:numId w:val="0"/>
        </w:numPr>
        <w:rPr>
          <w:b w:val="0"/>
        </w:rPr>
      </w:pPr>
    </w:p>
    <w:p w14:paraId="19C5C63B" w14:textId="0D61EACE" w:rsidR="004E3E87" w:rsidRPr="00CE1C43" w:rsidRDefault="00CE1C43" w:rsidP="004E3E87">
      <w:pPr>
        <w:pStyle w:val="Heading3"/>
      </w:pPr>
      <w:r>
        <w:t>Inactive UEs</w:t>
      </w:r>
    </w:p>
    <w:p w14:paraId="10484262" w14:textId="3F4ECA1A" w:rsidR="007A504B" w:rsidRDefault="007F6B2C" w:rsidP="00F16178">
      <w:pPr>
        <w:rPr>
          <w:szCs w:val="22"/>
          <w:lang w:val="en-US"/>
        </w:rPr>
      </w:pPr>
      <w:r>
        <w:rPr>
          <w:szCs w:val="22"/>
          <w:lang w:val="en-US"/>
        </w:rPr>
        <w:t>In LTE, i</w:t>
      </w:r>
      <w:r w:rsidR="00F16178">
        <w:rPr>
          <w:szCs w:val="22"/>
          <w:lang w:val="en-US"/>
        </w:rPr>
        <w:t>nactiv</w:t>
      </w:r>
      <w:r w:rsidR="00231869">
        <w:rPr>
          <w:szCs w:val="22"/>
          <w:lang w:val="en-US"/>
        </w:rPr>
        <w:t>e UE</w:t>
      </w:r>
      <w:r w:rsidR="00F16178">
        <w:rPr>
          <w:szCs w:val="22"/>
          <w:lang w:val="en-US"/>
        </w:rPr>
        <w:t xml:space="preserve">s </w:t>
      </w:r>
      <w:r>
        <w:rPr>
          <w:szCs w:val="22"/>
          <w:lang w:val="en-US"/>
        </w:rPr>
        <w:t xml:space="preserve">are </w:t>
      </w:r>
      <w:r w:rsidR="00F16178">
        <w:rPr>
          <w:szCs w:val="22"/>
          <w:lang w:val="en-US"/>
        </w:rPr>
        <w:t>optimized for energy savings</w:t>
      </w:r>
      <w:r w:rsidR="00231869">
        <w:rPr>
          <w:szCs w:val="22"/>
          <w:lang w:val="en-US"/>
        </w:rPr>
        <w:t xml:space="preserve"> and have no data activity</w:t>
      </w:r>
      <w:r w:rsidR="00F16178">
        <w:rPr>
          <w:szCs w:val="22"/>
          <w:lang w:val="en-US"/>
        </w:rPr>
        <w:t>.</w:t>
      </w:r>
      <w:r>
        <w:rPr>
          <w:szCs w:val="22"/>
          <w:lang w:val="en-US"/>
        </w:rPr>
        <w:t xml:space="preserve"> M</w:t>
      </w:r>
      <w:r w:rsidR="00F16178">
        <w:rPr>
          <w:szCs w:val="22"/>
          <w:lang w:val="en-US"/>
        </w:rPr>
        <w:t xml:space="preserve">obility </w:t>
      </w:r>
      <w:r>
        <w:rPr>
          <w:szCs w:val="22"/>
          <w:lang w:val="en-US"/>
        </w:rPr>
        <w:t xml:space="preserve">in that state </w:t>
      </w:r>
      <w:r w:rsidR="007A504B">
        <w:rPr>
          <w:szCs w:val="22"/>
          <w:lang w:val="en-US"/>
        </w:rPr>
        <w:t xml:space="preserve">has the purpose to </w:t>
      </w:r>
      <w:r>
        <w:rPr>
          <w:szCs w:val="22"/>
          <w:lang w:val="en-US"/>
        </w:rPr>
        <w:t>facilitate</w:t>
      </w:r>
      <w:r w:rsidR="007A504B">
        <w:rPr>
          <w:szCs w:val="22"/>
          <w:lang w:val="en-US"/>
        </w:rPr>
        <w:t xml:space="preserve"> </w:t>
      </w:r>
      <w:r w:rsidR="00F16178">
        <w:rPr>
          <w:szCs w:val="22"/>
          <w:lang w:val="en-US"/>
        </w:rPr>
        <w:t>the network to contact the UE</w:t>
      </w:r>
      <w:r>
        <w:rPr>
          <w:szCs w:val="22"/>
          <w:lang w:val="en-US"/>
        </w:rPr>
        <w:t xml:space="preserve"> (</w:t>
      </w:r>
      <w:r w:rsidR="00F16178">
        <w:rPr>
          <w:szCs w:val="22"/>
          <w:lang w:val="en-US"/>
        </w:rPr>
        <w:t>typically via paging</w:t>
      </w:r>
      <w:r>
        <w:rPr>
          <w:szCs w:val="22"/>
          <w:lang w:val="en-US"/>
        </w:rPr>
        <w:t>)</w:t>
      </w:r>
      <w:r w:rsidR="00F16178">
        <w:rPr>
          <w:szCs w:val="22"/>
          <w:lang w:val="en-US"/>
        </w:rPr>
        <w:t xml:space="preserve"> </w:t>
      </w:r>
      <w:r>
        <w:rPr>
          <w:szCs w:val="22"/>
          <w:lang w:val="en-US"/>
        </w:rPr>
        <w:t xml:space="preserve">and to support the transfer of the UE context within the RAN, in the case of state transitions </w:t>
      </w:r>
      <w:r w:rsidR="00231869">
        <w:rPr>
          <w:szCs w:val="22"/>
          <w:lang w:val="en-US"/>
        </w:rPr>
        <w:t xml:space="preserve">based on </w:t>
      </w:r>
      <w:r>
        <w:rPr>
          <w:szCs w:val="22"/>
          <w:lang w:val="en-US"/>
        </w:rPr>
        <w:t>Suspend/Resume</w:t>
      </w:r>
      <w:r w:rsidR="008024B8">
        <w:rPr>
          <w:szCs w:val="22"/>
          <w:lang w:val="en-US"/>
        </w:rPr>
        <w:t xml:space="preserve"> [</w:t>
      </w:r>
      <w:r w:rsidR="00387C88">
        <w:rPr>
          <w:szCs w:val="22"/>
          <w:lang w:val="en-US"/>
        </w:rPr>
        <w:t>6</w:t>
      </w:r>
      <w:r w:rsidR="008024B8">
        <w:rPr>
          <w:szCs w:val="22"/>
          <w:lang w:val="en-US"/>
        </w:rPr>
        <w:t>]</w:t>
      </w:r>
      <w:r>
        <w:rPr>
          <w:szCs w:val="22"/>
          <w:lang w:val="en-US"/>
        </w:rPr>
        <w:t>.</w:t>
      </w:r>
      <w:r w:rsidR="00D03812">
        <w:rPr>
          <w:szCs w:val="22"/>
          <w:lang w:val="en-US"/>
        </w:rPr>
        <w:t xml:space="preserve"> </w:t>
      </w:r>
      <w:r w:rsidR="00231869">
        <w:rPr>
          <w:szCs w:val="22"/>
          <w:lang w:val="en-US"/>
        </w:rPr>
        <w:t xml:space="preserve">The </w:t>
      </w:r>
      <w:r w:rsidR="00F16178">
        <w:rPr>
          <w:szCs w:val="22"/>
          <w:lang w:val="en-US"/>
        </w:rPr>
        <w:t xml:space="preserve">UE can move across multiple LTE cells without notifying the network </w:t>
      </w:r>
      <w:r>
        <w:rPr>
          <w:szCs w:val="22"/>
          <w:lang w:val="en-US"/>
        </w:rPr>
        <w:t xml:space="preserve">as long as it is in a </w:t>
      </w:r>
      <w:r w:rsidR="007A504B">
        <w:rPr>
          <w:szCs w:val="22"/>
          <w:lang w:val="en-US"/>
        </w:rPr>
        <w:t xml:space="preserve">pre-configured set of LTE cells belonging to a given tracking area list. One consequence of not notifying the network about every cell reselections is that the network becomes uncertain about the cell it should page the UE. Another consequence is a potentially large delay when the network needs to fetch the UE context from another node when the UE tries to resume its RRC connection in another location. In both cases smart implementations may exist to counter-act these effects. </w:t>
      </w:r>
    </w:p>
    <w:p w14:paraId="2738AC3F" w14:textId="37DABE91" w:rsidR="00C830DE" w:rsidRDefault="00D03812" w:rsidP="00355B32">
      <w:pPr>
        <w:rPr>
          <w:szCs w:val="22"/>
          <w:lang w:val="en-US"/>
        </w:rPr>
      </w:pPr>
      <w:r>
        <w:rPr>
          <w:szCs w:val="22"/>
          <w:lang w:val="en-US"/>
        </w:rPr>
        <w:t xml:space="preserve">As captured in </w:t>
      </w:r>
      <w:r w:rsidR="00387C88">
        <w:rPr>
          <w:szCs w:val="22"/>
        </w:rPr>
        <w:t>[1</w:t>
      </w:r>
      <w:proofErr w:type="gramStart"/>
      <w:r w:rsidR="00387C88">
        <w:rPr>
          <w:szCs w:val="22"/>
        </w:rPr>
        <w:t>][</w:t>
      </w:r>
      <w:proofErr w:type="gramEnd"/>
      <w:r w:rsidR="00387C88">
        <w:rPr>
          <w:szCs w:val="22"/>
        </w:rPr>
        <w:t xml:space="preserve">2] </w:t>
      </w:r>
      <w:r>
        <w:rPr>
          <w:szCs w:val="22"/>
          <w:lang w:val="en-US"/>
        </w:rPr>
        <w:t>the NR-LTE tight interworking solution should aim a high performing inter-RAT mobility. For inactive UEs, high performing inter-RAT mobility means low signaling (on the radio interface and within the network) and optimized UE energy c</w:t>
      </w:r>
      <w:r w:rsidR="00231869">
        <w:rPr>
          <w:szCs w:val="22"/>
          <w:lang w:val="en-US"/>
        </w:rPr>
        <w:t xml:space="preserve">onsumption. </w:t>
      </w:r>
      <w:r w:rsidR="00355B32">
        <w:rPr>
          <w:szCs w:val="22"/>
          <w:lang w:val="en-US"/>
        </w:rPr>
        <w:t xml:space="preserve">Considering the same deployment scenarios discussed in the previous session, (e.g. 1.1 and 1.2, with overlapping coverage) </w:t>
      </w:r>
      <w:r w:rsidR="00355B32" w:rsidRPr="00C515B8">
        <w:rPr>
          <w:szCs w:val="22"/>
          <w:lang w:val="en-US"/>
        </w:rPr>
        <w:t xml:space="preserve">an </w:t>
      </w:r>
      <w:r w:rsidR="00355B32">
        <w:rPr>
          <w:szCs w:val="22"/>
          <w:lang w:val="en-US"/>
        </w:rPr>
        <w:t xml:space="preserve">inactive </w:t>
      </w:r>
      <w:r w:rsidR="00355B32" w:rsidRPr="00C515B8">
        <w:rPr>
          <w:szCs w:val="22"/>
          <w:lang w:val="en-US"/>
        </w:rPr>
        <w:t xml:space="preserve">UE </w:t>
      </w:r>
      <w:r w:rsidR="00355B32">
        <w:rPr>
          <w:szCs w:val="22"/>
          <w:lang w:val="en-US"/>
        </w:rPr>
        <w:t xml:space="preserve">within the LTE coverage and moving towards the NR coverage should be able to camp on NR without notifying the network to efficiently start to use the NR resources e.g. in the case of UE access. In the same way, an inactive </w:t>
      </w:r>
      <w:r w:rsidR="00355B32" w:rsidRPr="00C515B8">
        <w:rPr>
          <w:szCs w:val="22"/>
          <w:lang w:val="en-US"/>
        </w:rPr>
        <w:t xml:space="preserve">UE </w:t>
      </w:r>
      <w:r w:rsidR="00355B32">
        <w:rPr>
          <w:szCs w:val="22"/>
          <w:lang w:val="en-US"/>
        </w:rPr>
        <w:t>within the NR coverage and moving towards the LTE should be able to efficiently camp on LTE in the case the network finds it necessary e.g. for load balance purposes.</w:t>
      </w:r>
    </w:p>
    <w:p w14:paraId="40A84FE4" w14:textId="605707A4" w:rsidR="00C830DE" w:rsidRPr="00C830DE" w:rsidRDefault="00C830DE" w:rsidP="00C830DE">
      <w:pPr>
        <w:pStyle w:val="Proposal"/>
      </w:pPr>
      <w:r>
        <w:t>I</w:t>
      </w:r>
      <w:r w:rsidRPr="002C1235">
        <w:t xml:space="preserve">nter-RAT mobility </w:t>
      </w:r>
      <w:r>
        <w:t>from LTE to NR and</w:t>
      </w:r>
      <w:r w:rsidR="006E24EE">
        <w:t xml:space="preserve"> from NR to LTE for Inactive UE</w:t>
      </w:r>
      <w:r>
        <w:t xml:space="preserve">s </w:t>
      </w:r>
      <w:r>
        <w:rPr>
          <w:szCs w:val="22"/>
          <w:lang w:val="en-US"/>
        </w:rPr>
        <w:t>should enable the UE to move across NR and LTE coverage without necessarily notifying the network to minimize the signaling over the air interface</w:t>
      </w:r>
      <w:r w:rsidR="00762D50">
        <w:rPr>
          <w:szCs w:val="22"/>
          <w:lang w:val="en-US"/>
        </w:rPr>
        <w:t>.</w:t>
      </w:r>
    </w:p>
    <w:p w14:paraId="1ABBFE49" w14:textId="28149AFB" w:rsidR="00C830DE" w:rsidRDefault="00C830DE" w:rsidP="00C830DE">
      <w:pPr>
        <w:rPr>
          <w:szCs w:val="22"/>
          <w:lang w:val="en-US"/>
        </w:rPr>
      </w:pPr>
      <w:r>
        <w:rPr>
          <w:szCs w:val="22"/>
          <w:lang w:val="en-US"/>
        </w:rPr>
        <w:t xml:space="preserve">According to the same scenarios, with and without overlapping coverage areas, there will be cases where the UE is active in one RAT and after going to inactive tries to access the system over the other RAT. When this occurs in the single RAT case there could be delays associated to context fetching so that the same is expected in the LTE/NR tight interworking case. These cases should efficiently be supported with delays as good as in the intra-RAT case when the UE needs to resume its RRC connection. </w:t>
      </w:r>
    </w:p>
    <w:p w14:paraId="245AF888" w14:textId="5AD55117" w:rsidR="00C830DE" w:rsidRDefault="006E24EE" w:rsidP="006E24EE">
      <w:pPr>
        <w:pStyle w:val="Proposal"/>
      </w:pPr>
      <w:r w:rsidRPr="006E24EE">
        <w:t xml:space="preserve">Inter-RAT mobility from LTE to NR and from NR to LTE </w:t>
      </w:r>
      <w:r w:rsidR="00C830DE">
        <w:t>should efficiently support, with low delay for context fetching, both the cases where i) UE is active in LTE and goes inactive, performs inactive mobility to NR and access the system over NR or ii</w:t>
      </w:r>
      <w:proofErr w:type="gramStart"/>
      <w:r w:rsidR="00C830DE">
        <w:t>)  UE</w:t>
      </w:r>
      <w:proofErr w:type="gramEnd"/>
      <w:r w:rsidR="00C830DE">
        <w:t xml:space="preserve"> is active in NR and goes inactive, performs inactive mobility to LTE and access the system over LTE. </w:t>
      </w:r>
    </w:p>
    <w:p w14:paraId="7054DD44" w14:textId="77777777" w:rsidR="00255BE6" w:rsidRDefault="00255BE6" w:rsidP="00C830DE">
      <w:pPr>
        <w:rPr>
          <w:szCs w:val="22"/>
          <w:lang w:val="en-US"/>
        </w:rPr>
      </w:pPr>
    </w:p>
    <w:p w14:paraId="1D70CDBE" w14:textId="7028148F" w:rsidR="00E80F1F" w:rsidRDefault="00255BE6" w:rsidP="00255BE6">
      <w:pPr>
        <w:pStyle w:val="Heading2"/>
      </w:pPr>
      <w:r>
        <w:t xml:space="preserve">Dual Connectivity between LTE and NR </w:t>
      </w:r>
    </w:p>
    <w:p w14:paraId="499D6348" w14:textId="70BF498A" w:rsidR="000C4FDC" w:rsidRDefault="00AC54D0" w:rsidP="005E360A">
      <w:r>
        <w:t xml:space="preserve">According to </w:t>
      </w:r>
      <w:r w:rsidR="006F079E">
        <w:t xml:space="preserve">[2] </w:t>
      </w:r>
      <w:r>
        <w:t>the RAN architecture shall support aggregation of data flows via at least Dual Connectivity between LTE and NR, supporting both collocated and non-collocated site deployments.</w:t>
      </w:r>
    </w:p>
    <w:p w14:paraId="4BB35818" w14:textId="1A328FCD" w:rsidR="00AA5204" w:rsidRDefault="00AA5204" w:rsidP="005E360A">
      <w:r>
        <w:t>One of the goals of the Dual Connectivity solution is the efficient usage of resources from both LTE and NR e.g. via User Plane (UP) aggregation and/or UP switching</w:t>
      </w:r>
      <w:r w:rsidR="006F079E">
        <w:t>.</w:t>
      </w:r>
      <w:r>
        <w:t xml:space="preserve"> Both the detection of the secondary RAT and its setup are very important procedures to be supported by the Control Plane design.</w:t>
      </w:r>
      <w:r w:rsidR="00902D03">
        <w:t xml:space="preserve"> If the setup of the secondary RAT takes too long there will be cases where the UE finishes the transmissions of packets before the establishment. </w:t>
      </w:r>
    </w:p>
    <w:p w14:paraId="0A11DA6E" w14:textId="390D0095" w:rsidR="00460C67" w:rsidRDefault="005D6216" w:rsidP="00AA5204">
      <w:pPr>
        <w:rPr>
          <w:szCs w:val="22"/>
          <w:lang w:val="en-US"/>
        </w:rPr>
      </w:pPr>
      <w:r>
        <w:t>In b</w:t>
      </w:r>
      <w:r w:rsidR="00C82455">
        <w:t xml:space="preserve">oth </w:t>
      </w:r>
      <w:r w:rsidR="00AA5204">
        <w:rPr>
          <w:szCs w:val="22"/>
          <w:lang w:val="en-US"/>
        </w:rPr>
        <w:t xml:space="preserve">scenarios 1.1 and 1.2 </w:t>
      </w:r>
      <w:r>
        <w:rPr>
          <w:szCs w:val="22"/>
          <w:lang w:val="en-US"/>
        </w:rPr>
        <w:t xml:space="preserve">there will be </w:t>
      </w:r>
      <w:r w:rsidR="00C82455">
        <w:rPr>
          <w:szCs w:val="22"/>
          <w:lang w:val="en-US"/>
        </w:rPr>
        <w:t>case</w:t>
      </w:r>
      <w:r>
        <w:rPr>
          <w:szCs w:val="22"/>
          <w:lang w:val="en-US"/>
        </w:rPr>
        <w:t>s</w:t>
      </w:r>
      <w:r w:rsidR="00C82455">
        <w:rPr>
          <w:szCs w:val="22"/>
          <w:lang w:val="en-US"/>
        </w:rPr>
        <w:t xml:space="preserve"> where the UE moves from </w:t>
      </w:r>
      <w:r>
        <w:rPr>
          <w:szCs w:val="22"/>
          <w:lang w:val="en-US"/>
        </w:rPr>
        <w:t xml:space="preserve">the </w:t>
      </w:r>
      <w:r w:rsidR="00C82455">
        <w:rPr>
          <w:szCs w:val="22"/>
          <w:lang w:val="en-US"/>
        </w:rPr>
        <w:t xml:space="preserve">coverage area </w:t>
      </w:r>
      <w:r>
        <w:rPr>
          <w:szCs w:val="22"/>
          <w:lang w:val="en-US"/>
        </w:rPr>
        <w:t xml:space="preserve">of a single RAT </w:t>
      </w:r>
      <w:r w:rsidR="00C82455">
        <w:rPr>
          <w:szCs w:val="22"/>
          <w:lang w:val="en-US"/>
        </w:rPr>
        <w:t>to an overlapping coverage area</w:t>
      </w:r>
      <w:r>
        <w:rPr>
          <w:szCs w:val="22"/>
          <w:lang w:val="en-US"/>
        </w:rPr>
        <w:t xml:space="preserve"> of LTE and NR</w:t>
      </w:r>
      <w:r w:rsidR="00C82455">
        <w:rPr>
          <w:szCs w:val="22"/>
          <w:lang w:val="en-US"/>
        </w:rPr>
        <w:t>. In some variants</w:t>
      </w:r>
      <w:r w:rsidR="00AA5204">
        <w:rPr>
          <w:szCs w:val="22"/>
          <w:lang w:val="en-US"/>
        </w:rPr>
        <w:t xml:space="preserve"> </w:t>
      </w:r>
      <w:r w:rsidR="00AA5204" w:rsidRPr="00C515B8">
        <w:rPr>
          <w:szCs w:val="22"/>
          <w:lang w:val="en-US"/>
        </w:rPr>
        <w:t xml:space="preserve">an active UE </w:t>
      </w:r>
      <w:r w:rsidR="00AA5204">
        <w:rPr>
          <w:szCs w:val="22"/>
          <w:lang w:val="en-US"/>
        </w:rPr>
        <w:t xml:space="preserve">within the LTE coverage </w:t>
      </w:r>
      <w:r w:rsidR="00C82455">
        <w:rPr>
          <w:szCs w:val="22"/>
          <w:lang w:val="en-US"/>
        </w:rPr>
        <w:t xml:space="preserve">moves </w:t>
      </w:r>
      <w:r w:rsidR="00AA5204">
        <w:rPr>
          <w:szCs w:val="22"/>
          <w:lang w:val="en-US"/>
        </w:rPr>
        <w:t>towards the NR coverage</w:t>
      </w:r>
      <w:r w:rsidR="00C82455">
        <w:rPr>
          <w:szCs w:val="22"/>
          <w:lang w:val="en-US"/>
        </w:rPr>
        <w:t xml:space="preserve"> island, overlapping with the LTE Macro. </w:t>
      </w:r>
      <w:r w:rsidR="00460C67">
        <w:rPr>
          <w:szCs w:val="22"/>
          <w:lang w:val="en-US"/>
        </w:rPr>
        <w:t xml:space="preserve">To efficiently support these cases </w:t>
      </w:r>
      <w:r w:rsidR="00C82455">
        <w:rPr>
          <w:szCs w:val="22"/>
          <w:lang w:val="en-US"/>
        </w:rPr>
        <w:t xml:space="preserve">the </w:t>
      </w:r>
      <w:r w:rsidR="00460C67">
        <w:rPr>
          <w:szCs w:val="22"/>
          <w:lang w:val="en-US"/>
        </w:rPr>
        <w:t xml:space="preserve">CP design </w:t>
      </w:r>
      <w:r w:rsidR="00C82455">
        <w:rPr>
          <w:szCs w:val="22"/>
          <w:lang w:val="en-US"/>
        </w:rPr>
        <w:t xml:space="preserve">must support </w:t>
      </w:r>
      <w:r w:rsidR="00460C67">
        <w:rPr>
          <w:szCs w:val="22"/>
          <w:lang w:val="en-US"/>
        </w:rPr>
        <w:t xml:space="preserve">a </w:t>
      </w:r>
      <w:r w:rsidR="00C82455">
        <w:rPr>
          <w:szCs w:val="22"/>
          <w:lang w:val="en-US"/>
        </w:rPr>
        <w:t xml:space="preserve">UE </w:t>
      </w:r>
      <w:r w:rsidR="00460C67">
        <w:rPr>
          <w:szCs w:val="22"/>
          <w:lang w:val="en-US"/>
        </w:rPr>
        <w:t xml:space="preserve">initial </w:t>
      </w:r>
      <w:r w:rsidR="00C82455">
        <w:rPr>
          <w:szCs w:val="22"/>
          <w:lang w:val="en-US"/>
        </w:rPr>
        <w:t xml:space="preserve">access over LTE and the </w:t>
      </w:r>
      <w:r w:rsidR="00460C67">
        <w:rPr>
          <w:szCs w:val="22"/>
          <w:lang w:val="en-US"/>
        </w:rPr>
        <w:t xml:space="preserve">subsequent </w:t>
      </w:r>
      <w:r w:rsidR="00C82455">
        <w:rPr>
          <w:szCs w:val="22"/>
          <w:lang w:val="en-US"/>
        </w:rPr>
        <w:t xml:space="preserve">fast setup of NR as the </w:t>
      </w:r>
      <w:r w:rsidR="00460C67">
        <w:rPr>
          <w:szCs w:val="22"/>
          <w:lang w:val="en-US"/>
        </w:rPr>
        <w:t xml:space="preserve">secondary RAT. In the other variants </w:t>
      </w:r>
      <w:r w:rsidR="00460C67" w:rsidRPr="00C515B8">
        <w:rPr>
          <w:szCs w:val="22"/>
          <w:lang w:val="en-US"/>
        </w:rPr>
        <w:t xml:space="preserve">an active UE </w:t>
      </w:r>
      <w:r w:rsidR="00460C67">
        <w:rPr>
          <w:szCs w:val="22"/>
          <w:lang w:val="en-US"/>
        </w:rPr>
        <w:t>within the NR single coverage moves towards the LTE coverage island, overlapping with the NR Macro. To efficiently support these cases the CP design must support a UE initial access over NR and the subsequent fast set</w:t>
      </w:r>
      <w:r w:rsidR="00902D03">
        <w:rPr>
          <w:szCs w:val="22"/>
          <w:lang w:val="en-US"/>
        </w:rPr>
        <w:t>up of LTE as the secondary RAT.</w:t>
      </w:r>
    </w:p>
    <w:p w14:paraId="25D0E7A1" w14:textId="7567DFB0" w:rsidR="00902D03" w:rsidRPr="00902D03" w:rsidRDefault="00287900" w:rsidP="00607337">
      <w:pPr>
        <w:pStyle w:val="Proposal"/>
        <w:rPr>
          <w:szCs w:val="22"/>
          <w:lang w:val="en-US"/>
        </w:rPr>
      </w:pPr>
      <w:r>
        <w:lastRenderedPageBreak/>
        <w:t xml:space="preserve">NR/LTE Dual Connectivity </w:t>
      </w:r>
      <w:r w:rsidR="00B462F1">
        <w:t>s</w:t>
      </w:r>
      <w:r w:rsidR="006E24EE">
        <w:t>hould</w:t>
      </w:r>
      <w:r w:rsidR="00460C67">
        <w:t xml:space="preserve"> support both </w:t>
      </w:r>
      <w:r w:rsidR="00460C67">
        <w:rPr>
          <w:szCs w:val="22"/>
          <w:lang w:val="en-US"/>
        </w:rPr>
        <w:t xml:space="preserve">a UE initial access over NR and the subsequent fast setup of </w:t>
      </w:r>
      <w:r>
        <w:rPr>
          <w:szCs w:val="22"/>
          <w:lang w:val="en-US"/>
        </w:rPr>
        <w:t xml:space="preserve">an </w:t>
      </w:r>
      <w:r w:rsidR="00460C67">
        <w:rPr>
          <w:szCs w:val="22"/>
          <w:lang w:val="en-US"/>
        </w:rPr>
        <w:t xml:space="preserve">LTE </w:t>
      </w:r>
      <w:r>
        <w:rPr>
          <w:szCs w:val="22"/>
          <w:lang w:val="en-US"/>
        </w:rPr>
        <w:t xml:space="preserve">link </w:t>
      </w:r>
      <w:r w:rsidR="00460C67">
        <w:rPr>
          <w:szCs w:val="22"/>
          <w:lang w:val="en-US"/>
        </w:rPr>
        <w:t xml:space="preserve">and the </w:t>
      </w:r>
      <w:r w:rsidR="00460C67" w:rsidRPr="00460C67">
        <w:rPr>
          <w:szCs w:val="22"/>
          <w:lang w:val="en-US"/>
        </w:rPr>
        <w:t xml:space="preserve">UE initial access over LTE and the subsequent fast setup of NR </w:t>
      </w:r>
      <w:r>
        <w:rPr>
          <w:szCs w:val="22"/>
          <w:lang w:val="en-US"/>
        </w:rPr>
        <w:t>link.</w:t>
      </w:r>
    </w:p>
    <w:p w14:paraId="79EA0CB2" w14:textId="23C1B488" w:rsidR="00902D03" w:rsidRPr="00BE5419" w:rsidRDefault="00902D03" w:rsidP="00902D03">
      <w:r>
        <w:t xml:space="preserve">Aside from UP aggregating and/or switching, it was also discussed during the Dual Connectivity study item to support sending RRC messages via both MeNB and SeNB, but not necessarily simultaneously. However, due to the lack of time it was down prioritized and left out of the work item. This is referred here as "RRC diversity". With requirements on ultra-reliability, low latency and robustness of NR </w:t>
      </w:r>
      <w:r w:rsidR="006F079E">
        <w:t xml:space="preserve">[1] </w:t>
      </w:r>
      <w:r>
        <w:t>RRC diversity is a feature that should be supported from the beginning. Another reason for supporting RRC diversity is that in the case of high frequency deployments, NR will rely massively on beamforming where fast SINR drops may occur due to link blockage and higher penetration loss.</w:t>
      </w:r>
    </w:p>
    <w:p w14:paraId="22F60C3E" w14:textId="495C4DFC" w:rsidR="00902D03" w:rsidRDefault="00B462F1" w:rsidP="00902D03">
      <w:pPr>
        <w:pStyle w:val="Proposal"/>
      </w:pPr>
      <w:r>
        <w:t>NR/LTE Dual Connectivity should support RRC diversity.</w:t>
      </w:r>
    </w:p>
    <w:p w14:paraId="0C5CB515" w14:textId="77777777" w:rsidR="00902D03" w:rsidRDefault="00902D03" w:rsidP="009E79AE">
      <w:pPr>
        <w:pStyle w:val="Proposal"/>
        <w:numPr>
          <w:ilvl w:val="0"/>
          <w:numId w:val="0"/>
        </w:numPr>
      </w:pPr>
    </w:p>
    <w:p w14:paraId="3B5356FF" w14:textId="71DF7A55" w:rsidR="001175E7" w:rsidRPr="001175E7" w:rsidRDefault="001175E7" w:rsidP="001175E7">
      <w:pPr>
        <w:pStyle w:val="Heading1"/>
      </w:pPr>
      <w:r>
        <w:t>Conclusions</w:t>
      </w:r>
      <w:r w:rsidRPr="001175E7">
        <w:rPr>
          <w:szCs w:val="22"/>
        </w:rPr>
        <w:t xml:space="preserve"> </w:t>
      </w:r>
    </w:p>
    <w:p w14:paraId="6D29268C" w14:textId="0BFA49A6" w:rsidR="006F079E" w:rsidRDefault="001175E7" w:rsidP="001175E7">
      <w:pPr>
        <w:tabs>
          <w:tab w:val="left" w:pos="6752"/>
        </w:tabs>
        <w:rPr>
          <w:rFonts w:cs="Arial"/>
          <w:szCs w:val="22"/>
        </w:rPr>
      </w:pPr>
      <w:r w:rsidRPr="001175E7">
        <w:rPr>
          <w:rFonts w:cs="Arial"/>
          <w:szCs w:val="22"/>
        </w:rPr>
        <w:t xml:space="preserve">This contribution identifies </w:t>
      </w:r>
      <w:r w:rsidRPr="001175E7">
        <w:rPr>
          <w:rFonts w:cs="Arial"/>
          <w:bCs/>
          <w:szCs w:val="22"/>
          <w:lang w:eastAsia="ja-JP"/>
        </w:rPr>
        <w:t xml:space="preserve">technical features necessary to enable </w:t>
      </w:r>
      <w:r w:rsidRPr="001175E7">
        <w:rPr>
          <w:rFonts w:eastAsia="Malgun Gothic" w:cs="Arial"/>
          <w:bCs/>
          <w:szCs w:val="22"/>
          <w:lang w:eastAsia="ko-KR"/>
        </w:rPr>
        <w:t xml:space="preserve">the tight </w:t>
      </w:r>
      <w:r w:rsidRPr="001175E7">
        <w:rPr>
          <w:rFonts w:cs="Arial"/>
          <w:bCs/>
          <w:szCs w:val="22"/>
          <w:lang w:eastAsia="ja-JP"/>
        </w:rPr>
        <w:t>interworking</w:t>
      </w:r>
      <w:r w:rsidRPr="001175E7">
        <w:rPr>
          <w:rFonts w:eastAsia="Malgun Gothic" w:cs="Arial"/>
          <w:bCs/>
          <w:szCs w:val="22"/>
          <w:lang w:eastAsia="ko-KR"/>
        </w:rPr>
        <w:t xml:space="preserve"> between </w:t>
      </w:r>
      <w:r w:rsidR="00205E4F">
        <w:rPr>
          <w:rFonts w:eastAsia="Malgun Gothic" w:cs="Arial"/>
          <w:bCs/>
          <w:szCs w:val="22"/>
          <w:lang w:eastAsia="ko-KR"/>
        </w:rPr>
        <w:t xml:space="preserve">NR </w:t>
      </w:r>
      <w:r w:rsidRPr="001175E7">
        <w:rPr>
          <w:rFonts w:eastAsia="Malgun Gothic" w:cs="Arial"/>
          <w:bCs/>
          <w:szCs w:val="22"/>
          <w:lang w:eastAsia="ko-KR"/>
        </w:rPr>
        <w:t>and LTE</w:t>
      </w:r>
      <w:r w:rsidR="00205E4F">
        <w:rPr>
          <w:rFonts w:cs="Arial"/>
          <w:szCs w:val="22"/>
        </w:rPr>
        <w:t xml:space="preserve"> </w:t>
      </w:r>
      <w:r w:rsidR="006F079E">
        <w:rPr>
          <w:rFonts w:cs="Arial"/>
          <w:szCs w:val="22"/>
        </w:rPr>
        <w:t xml:space="preserve">[2]. </w:t>
      </w:r>
      <w:r w:rsidR="006F079E">
        <w:rPr>
          <w:rFonts w:cs="Arial"/>
        </w:rPr>
        <w:t>The following has been observed</w:t>
      </w:r>
      <w:r w:rsidR="006F079E">
        <w:rPr>
          <w:rFonts w:cs="Arial"/>
        </w:rPr>
        <w:t>:</w:t>
      </w:r>
    </w:p>
    <w:p w14:paraId="44553ACE" w14:textId="77777777" w:rsidR="006F079E" w:rsidRPr="003636B2" w:rsidRDefault="006F079E" w:rsidP="006F079E">
      <w:pPr>
        <w:rPr>
          <w:rFonts w:cs="Arial"/>
          <w:b/>
        </w:rPr>
      </w:pPr>
      <w:r w:rsidRPr="003E5523">
        <w:rPr>
          <w:b/>
          <w:lang w:val="en-US"/>
        </w:rPr>
        <w:t>Observation 1: Inter-</w:t>
      </w:r>
      <w:r w:rsidRPr="003E5523">
        <w:rPr>
          <w:b/>
        </w:rPr>
        <w:t xml:space="preserve">RAT mobility </w:t>
      </w:r>
      <w:r w:rsidRPr="003E5523">
        <w:rPr>
          <w:rFonts w:cs="Arial"/>
          <w:b/>
        </w:rPr>
        <w:t>relying on “release with re-direct” cannot fulfil the requirements for high performing inter-RAT mobility</w:t>
      </w:r>
      <w:r>
        <w:rPr>
          <w:rFonts w:cs="Arial"/>
          <w:b/>
        </w:rPr>
        <w:t xml:space="preserve"> from LTE to NR and from NR to LTE.</w:t>
      </w:r>
    </w:p>
    <w:p w14:paraId="5270C55C" w14:textId="77777777" w:rsidR="006F079E" w:rsidRPr="003E5523" w:rsidRDefault="006F079E" w:rsidP="006F079E">
      <w:pPr>
        <w:rPr>
          <w:rFonts w:cs="Arial"/>
          <w:b/>
        </w:rPr>
      </w:pPr>
      <w:r>
        <w:rPr>
          <w:b/>
          <w:lang w:val="en-US"/>
        </w:rPr>
        <w:t>Observation 2</w:t>
      </w:r>
      <w:r w:rsidRPr="003E5523">
        <w:rPr>
          <w:b/>
          <w:lang w:val="en-US"/>
        </w:rPr>
        <w:t>: Inter-</w:t>
      </w:r>
      <w:r w:rsidRPr="003E5523">
        <w:rPr>
          <w:b/>
        </w:rPr>
        <w:t xml:space="preserve">RAT mobility </w:t>
      </w:r>
      <w:r w:rsidRPr="003E5523">
        <w:rPr>
          <w:rFonts w:cs="Arial"/>
          <w:b/>
        </w:rPr>
        <w:t xml:space="preserve">relying on </w:t>
      </w:r>
      <w:r>
        <w:rPr>
          <w:rFonts w:cs="Arial"/>
          <w:b/>
        </w:rPr>
        <w:t>CN-based inter-RAT handover, as between UMTS and LTE, involves a lot of network signalling which would make very challenging to fulfil the requirements for a high performing inter-RAT mobility procedure.</w:t>
      </w:r>
    </w:p>
    <w:p w14:paraId="5EB8B787" w14:textId="77777777" w:rsidR="006F079E" w:rsidRDefault="006F079E" w:rsidP="001175E7">
      <w:pPr>
        <w:tabs>
          <w:tab w:val="left" w:pos="6752"/>
        </w:tabs>
        <w:rPr>
          <w:rFonts w:cs="Arial"/>
          <w:szCs w:val="22"/>
        </w:rPr>
      </w:pPr>
    </w:p>
    <w:p w14:paraId="541D8814" w14:textId="04608585" w:rsidR="006F079E" w:rsidRDefault="006F079E" w:rsidP="001175E7">
      <w:pPr>
        <w:tabs>
          <w:tab w:val="left" w:pos="6752"/>
        </w:tabs>
        <w:rPr>
          <w:rFonts w:cs="Arial"/>
          <w:szCs w:val="22"/>
        </w:rPr>
      </w:pPr>
      <w:r>
        <w:rPr>
          <w:rFonts w:cs="Arial"/>
          <w:szCs w:val="22"/>
        </w:rPr>
        <w:t>The following has been proposed:</w:t>
      </w:r>
    </w:p>
    <w:p w14:paraId="0D5916A1" w14:textId="7BBEB5D1" w:rsidR="008B69B8" w:rsidRDefault="00205E4F">
      <w:pPr>
        <w:pStyle w:val="TOC1"/>
      </w:pPr>
      <w:r>
        <w:rPr>
          <w:b w:val="0"/>
          <w:bCs/>
        </w:rPr>
        <w:fldChar w:fldCharType="begin"/>
      </w:r>
      <w:r>
        <w:rPr>
          <w:b w:val="0"/>
          <w:bCs/>
        </w:rPr>
        <w:instrText xml:space="preserve"> TOC \f \n \p " " \t "Proposal;1" </w:instrText>
      </w:r>
      <w:r>
        <w:rPr>
          <w:b w:val="0"/>
          <w:bCs/>
        </w:rPr>
        <w:fldChar w:fldCharType="separate"/>
      </w:r>
    </w:p>
    <w:p w14:paraId="10B3FB7D" w14:textId="4E5A520C" w:rsidR="008B69B8" w:rsidRPr="002E1748" w:rsidRDefault="006F079E" w:rsidP="002E1748">
      <w:pPr>
        <w:pStyle w:val="TOC1"/>
        <w:jc w:val="both"/>
      </w:pPr>
      <w:bookmarkStart w:id="9" w:name="_GoBack"/>
      <w:bookmarkEnd w:id="9"/>
      <w:r>
        <w:t>Proposal 1</w:t>
      </w:r>
      <w:r>
        <w:tab/>
      </w:r>
      <w:r w:rsidRPr="006F079E">
        <w:t>Inter-RAT mobility from LTE to NR and from NR to LTE should have high robustness against packet losses and failures, low interruption delays and low signalling overhead including the case where the UE is not in NR/LTE Dual Connectivity.</w:t>
      </w:r>
    </w:p>
    <w:p w14:paraId="667F7948" w14:textId="7807DA85" w:rsidR="00524697" w:rsidRDefault="00524697" w:rsidP="002E1748">
      <w:pPr>
        <w:pStyle w:val="TOC1"/>
        <w:jc w:val="both"/>
      </w:pPr>
      <w:r>
        <w:t>Proposal 2</w:t>
      </w:r>
      <w:r w:rsidRPr="00524697">
        <w:rPr>
          <w:rFonts w:asciiTheme="minorHAnsi" w:eastAsiaTheme="minorEastAsia" w:hAnsiTheme="minorHAnsi" w:cstheme="minorBidi"/>
          <w:b w:val="0"/>
          <w:sz w:val="22"/>
          <w:lang w:eastAsia="fi-FI"/>
        </w:rPr>
        <w:tab/>
      </w:r>
      <w:r w:rsidR="00762D50" w:rsidRPr="00762D50">
        <w:t>Inter-RAT mobility from LTE to NR and from NR to LTE should be RAN-based.</w:t>
      </w:r>
    </w:p>
    <w:p w14:paraId="10F79F38" w14:textId="21486F76" w:rsidR="002E1748" w:rsidRPr="002E1748" w:rsidRDefault="002E1748" w:rsidP="002E1748">
      <w:pPr>
        <w:pStyle w:val="TOC1"/>
        <w:jc w:val="both"/>
      </w:pPr>
      <w:r w:rsidRPr="002E1748">
        <w:t>Proposal 3</w:t>
      </w:r>
      <w:r w:rsidRPr="002E1748">
        <w:tab/>
      </w:r>
      <w:r w:rsidR="00762D50" w:rsidRPr="00762D50">
        <w:t>Inter-RAT mobility from LTE to NR and from NR to LTE for Inactive UEs should enable the UE to move across NR and LTE coverage without necessarily notifying the network to minimize the signaling over the air interface.</w:t>
      </w:r>
    </w:p>
    <w:p w14:paraId="5F9B5477" w14:textId="438C99BD" w:rsidR="002E1748" w:rsidRDefault="00524697" w:rsidP="002E1748">
      <w:pPr>
        <w:pStyle w:val="TOC1"/>
        <w:jc w:val="both"/>
      </w:pPr>
      <w:r w:rsidRPr="00EC0C73">
        <w:t>Proposal 4</w:t>
      </w:r>
      <w:r w:rsidRPr="00524697">
        <w:rPr>
          <w:rFonts w:asciiTheme="minorHAnsi" w:eastAsiaTheme="minorEastAsia" w:hAnsiTheme="minorHAnsi" w:cstheme="minorBidi"/>
          <w:b w:val="0"/>
          <w:sz w:val="22"/>
          <w:lang w:eastAsia="fi-FI"/>
        </w:rPr>
        <w:tab/>
      </w:r>
      <w:r w:rsidR="00762D50" w:rsidRPr="00762D50">
        <w:t>Inter-RAT mobility from LTE to NR and from NR to LTE should efficiently support, with low delay for context fetching, both the cases where i) UE is active in LTE and goes inactive, performs inactive mobility to NR and access the system over NR or ii)  UE is active in NR and goes inactive, performs inactive mobility to LTE and access the system over LTE.</w:t>
      </w:r>
    </w:p>
    <w:p w14:paraId="3D3DA9CF" w14:textId="2B3F0860" w:rsidR="002E1748" w:rsidRDefault="002E1748" w:rsidP="002E1748">
      <w:pPr>
        <w:pStyle w:val="TOC1"/>
        <w:jc w:val="both"/>
      </w:pPr>
      <w:r w:rsidRPr="002E1748">
        <w:t>Proposal 5</w:t>
      </w:r>
      <w:r w:rsidRPr="002E1748">
        <w:tab/>
      </w:r>
      <w:r w:rsidR="00762D50" w:rsidRPr="00762D50">
        <w:t>Proposal 5</w:t>
      </w:r>
      <w:r w:rsidR="00762D50" w:rsidRPr="00762D50">
        <w:tab/>
        <w:t>NR/LTE Dual Connectivity should support both a UE initial access over NR and the subsequent fast setup of an LTE link and the UE initial access over LTE and the subsequent fast setup of NR link.</w:t>
      </w:r>
    </w:p>
    <w:p w14:paraId="5DEAB4AA" w14:textId="03D0BCB2" w:rsidR="002E1748" w:rsidRDefault="002E1748" w:rsidP="008B69B8">
      <w:pPr>
        <w:pStyle w:val="TOC1"/>
      </w:pPr>
      <w:r w:rsidRPr="002E1748">
        <w:t>Proposal 7</w:t>
      </w:r>
      <w:r w:rsidRPr="002E1748">
        <w:tab/>
      </w:r>
      <w:r w:rsidR="00B462F1" w:rsidRPr="00B462F1">
        <w:t>NR/LTE Dual Connectivity should support RRC diversity.</w:t>
      </w:r>
      <w:r w:rsidR="00B462F1">
        <w:t xml:space="preserve"> </w:t>
      </w:r>
    </w:p>
    <w:p w14:paraId="6B98B827" w14:textId="3BAEA4CA" w:rsidR="00205E4F" w:rsidRPr="002E1748" w:rsidRDefault="00205E4F" w:rsidP="001175E7">
      <w:pPr>
        <w:tabs>
          <w:tab w:val="left" w:pos="6752"/>
        </w:tabs>
        <w:rPr>
          <w:b/>
          <w:bCs/>
          <w:lang w:val="en-US"/>
        </w:rPr>
      </w:pPr>
      <w:r>
        <w:rPr>
          <w:b/>
          <w:bCs/>
        </w:rPr>
        <w:fldChar w:fldCharType="end"/>
      </w:r>
    </w:p>
    <w:p w14:paraId="2542A8F2" w14:textId="77777777" w:rsidR="008A7BCE" w:rsidRPr="00DC664E" w:rsidRDefault="008A7BCE" w:rsidP="001175E7">
      <w:pPr>
        <w:tabs>
          <w:tab w:val="left" w:pos="6752"/>
        </w:tabs>
        <w:rPr>
          <w:rFonts w:eastAsia="Malgun Gothic" w:cs="Arial"/>
          <w:bCs/>
          <w:szCs w:val="22"/>
          <w:lang w:eastAsia="ko-KR"/>
        </w:rPr>
      </w:pPr>
    </w:p>
    <w:p w14:paraId="72BB1D93" w14:textId="77777777" w:rsidR="00427637" w:rsidRPr="00A742FA" w:rsidRDefault="00427637" w:rsidP="00427637">
      <w:pPr>
        <w:pStyle w:val="Heading1"/>
        <w:rPr>
          <w:lang w:val="en-US"/>
        </w:rPr>
      </w:pPr>
      <w:r w:rsidRPr="00A742FA">
        <w:rPr>
          <w:lang w:val="en-US"/>
        </w:rPr>
        <w:t>Reference</w:t>
      </w:r>
      <w:r>
        <w:rPr>
          <w:lang w:val="en-US"/>
        </w:rPr>
        <w:t>s</w:t>
      </w:r>
    </w:p>
    <w:p w14:paraId="0F6A84EB" w14:textId="4FB18F9E" w:rsidR="00427637" w:rsidRPr="000C145C" w:rsidRDefault="00E454EB" w:rsidP="00E454EB">
      <w:pPr>
        <w:pStyle w:val="Reference"/>
      </w:pPr>
      <w:bookmarkStart w:id="10" w:name="_Ref447309424"/>
      <w:r w:rsidRPr="00E454EB">
        <w:t>3GPP TR 38.913 V0.3.0 (2016-03)</w:t>
      </w:r>
      <w:r>
        <w:t>,</w:t>
      </w:r>
      <w:r w:rsidRPr="00E454EB">
        <w:t xml:space="preserve"> 3rd Generation Partnership Project; Technical Specification Group Radio Access Network; Study on Scenarios and Requirements for Next Generation Access Technologies; (Release 14)</w:t>
      </w:r>
      <w:bookmarkEnd w:id="10"/>
    </w:p>
    <w:p w14:paraId="7A3FF524" w14:textId="77777777" w:rsidR="00602907" w:rsidRPr="000C145C" w:rsidRDefault="00602907" w:rsidP="000C145C">
      <w:pPr>
        <w:pStyle w:val="Reference"/>
      </w:pPr>
      <w:bookmarkStart w:id="11" w:name="_Ref446848631"/>
      <w:bookmarkStart w:id="12" w:name="_Ref447001561"/>
      <w:r w:rsidRPr="000C145C">
        <w:t>RP-160671, New SID Proposal: Study on New Radio Access Technology</w:t>
      </w:r>
      <w:bookmarkEnd w:id="11"/>
      <w:bookmarkEnd w:id="12"/>
    </w:p>
    <w:p w14:paraId="3BF6A254" w14:textId="69B5D5D4" w:rsidR="008E2C99" w:rsidRPr="000C145C" w:rsidRDefault="000B50F3" w:rsidP="00AD413A">
      <w:pPr>
        <w:pStyle w:val="Reference"/>
      </w:pPr>
      <w:hyperlink r:id="rId24" w:history="1">
        <w:bookmarkStart w:id="13" w:name="_Ref446848783"/>
        <w:r w:rsidR="008E2C99" w:rsidRPr="000C145C">
          <w:rPr>
            <w:rStyle w:val="Hyperlink"/>
            <w:color w:val="auto"/>
            <w:u w:val="none"/>
          </w:rPr>
          <w:t>METIS-II</w:t>
        </w:r>
        <w:r w:rsidR="00AD413A">
          <w:rPr>
            <w:rStyle w:val="Hyperlink"/>
            <w:color w:val="auto"/>
            <w:u w:val="none"/>
          </w:rPr>
          <w:t>,</w:t>
        </w:r>
        <w:r w:rsidR="008E2C99" w:rsidRPr="000C145C">
          <w:rPr>
            <w:rStyle w:val="Hyperlink"/>
            <w:color w:val="auto"/>
            <w:u w:val="none"/>
          </w:rPr>
          <w:t xml:space="preserve"> White Paper on 5G RAN Architecture and Functional design</w:t>
        </w:r>
        <w:bookmarkEnd w:id="13"/>
      </w:hyperlink>
      <w:r w:rsidR="00AD413A">
        <w:rPr>
          <w:rStyle w:val="Hyperlink"/>
          <w:color w:val="auto"/>
          <w:u w:val="none"/>
        </w:rPr>
        <w:t>, March 8</w:t>
      </w:r>
      <w:r w:rsidR="00AD413A" w:rsidRPr="00AD413A">
        <w:rPr>
          <w:rStyle w:val="Hyperlink"/>
          <w:color w:val="auto"/>
          <w:u w:val="none"/>
          <w:vertAlign w:val="superscript"/>
        </w:rPr>
        <w:t>th</w:t>
      </w:r>
      <w:r w:rsidR="00AD413A">
        <w:rPr>
          <w:rStyle w:val="Hyperlink"/>
          <w:color w:val="auto"/>
          <w:u w:val="none"/>
        </w:rPr>
        <w:t>, 2016.</w:t>
      </w:r>
    </w:p>
    <w:p w14:paraId="6FC5BFAA" w14:textId="26A512D3" w:rsidR="008024B8" w:rsidRDefault="008024B8" w:rsidP="008024B8">
      <w:pPr>
        <w:pStyle w:val="Reference"/>
      </w:pPr>
      <w:bookmarkStart w:id="14" w:name="_Ref447002690"/>
      <w:bookmarkStart w:id="15" w:name="_Ref447307281"/>
      <w:bookmarkStart w:id="16" w:name="_Ref450504199"/>
      <w:bookmarkStart w:id="17" w:name="_Ref447308002"/>
      <w:r w:rsidRPr="003962AF">
        <w:t>3GPP TS 36.300 V13.2.0 (2015-12)</w:t>
      </w:r>
      <w:r>
        <w:t>,</w:t>
      </w:r>
      <w:r w:rsidRPr="003962AF">
        <w:t xml:space="preserve"> 3rd Generation Partnership Project; Technical Specification Group Radio Access Network; Evolved Universal Terrestrial Radio Access (E-UTRA) and Evolved Universal Terrestrial Radio Access Network (E-UTRAN); Overall description; Stage 2 (Release 13)</w:t>
      </w:r>
      <w:bookmarkEnd w:id="17"/>
    </w:p>
    <w:p w14:paraId="651DB321" w14:textId="48C6CCDC" w:rsidR="008024B8" w:rsidRDefault="008024B8" w:rsidP="008024B8">
      <w:pPr>
        <w:pStyle w:val="Reference"/>
      </w:pPr>
      <w:bookmarkStart w:id="18" w:name="_Ref450504704"/>
      <w:r w:rsidRPr="008024B8">
        <w:t>R2-163996</w:t>
      </w:r>
      <w:r>
        <w:t>,</w:t>
      </w:r>
      <w:r>
        <w:t xml:space="preserve"> “</w:t>
      </w:r>
      <w:r w:rsidRPr="008024B8">
        <w:t>CN / RAN aspects of NR integration</w:t>
      </w:r>
      <w:r>
        <w:rPr>
          <w:lang w:val="en-US"/>
        </w:rPr>
        <w:t>”, Ericsson</w:t>
      </w:r>
      <w:bookmarkEnd w:id="18"/>
      <w:r>
        <w:rPr>
          <w:lang w:val="en-US"/>
        </w:rPr>
        <w:t>, RAN2#94, 23-27 May 2016</w:t>
      </w:r>
    </w:p>
    <w:p w14:paraId="0C532192" w14:textId="32386A76" w:rsidR="001175E7" w:rsidRDefault="008024B8" w:rsidP="0038254D">
      <w:pPr>
        <w:pStyle w:val="Reference"/>
      </w:pPr>
      <w:bookmarkStart w:id="19" w:name="_Ref447326013"/>
      <w:r w:rsidRPr="008024B8">
        <w:t>R2-163998</w:t>
      </w:r>
      <w:r>
        <w:t>, “</w:t>
      </w:r>
      <w:r w:rsidRPr="00226AA9">
        <w:t>Handling of inactive UEs</w:t>
      </w:r>
      <w:r>
        <w:t>”, Ericsson</w:t>
      </w:r>
      <w:bookmarkEnd w:id="19"/>
      <w:r>
        <w:t xml:space="preserve">, </w:t>
      </w:r>
      <w:r>
        <w:rPr>
          <w:lang w:val="en-US"/>
        </w:rPr>
        <w:t>RAN2#94, 23-27 May 2016</w:t>
      </w:r>
      <w:bookmarkEnd w:id="14"/>
      <w:bookmarkEnd w:id="15"/>
      <w:bookmarkEnd w:id="16"/>
    </w:p>
    <w:p w14:paraId="3C905192" w14:textId="77777777" w:rsidR="003A7EF3" w:rsidRPr="0030246E" w:rsidRDefault="003A7EF3" w:rsidP="00D00AE7"/>
    <w:sectPr w:rsidR="003A7EF3" w:rsidRPr="0030246E">
      <w:headerReference w:type="even" r:id="rId25"/>
      <w:headerReference w:type="default" r:id="rId26"/>
      <w:footerReference w:type="defaul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0E4C8" w14:textId="77777777" w:rsidR="000B50F3" w:rsidRDefault="000B50F3">
      <w:r>
        <w:separator/>
      </w:r>
    </w:p>
  </w:endnote>
  <w:endnote w:type="continuationSeparator" w:id="0">
    <w:p w14:paraId="207A2498" w14:textId="77777777" w:rsidR="000B50F3" w:rsidRDefault="000B50F3">
      <w:r>
        <w:continuationSeparator/>
      </w:r>
    </w:p>
  </w:endnote>
  <w:endnote w:type="continuationNotice" w:id="1">
    <w:p w14:paraId="465E74C8" w14:textId="77777777" w:rsidR="000B50F3" w:rsidRDefault="000B5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460C67" w:rsidRDefault="00460C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2D5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2D5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062B7" w14:textId="77777777" w:rsidR="000B50F3" w:rsidRDefault="000B50F3">
      <w:r>
        <w:separator/>
      </w:r>
    </w:p>
  </w:footnote>
  <w:footnote w:type="continuationSeparator" w:id="0">
    <w:p w14:paraId="5E940653" w14:textId="77777777" w:rsidR="000B50F3" w:rsidRDefault="000B50F3">
      <w:r>
        <w:continuationSeparator/>
      </w:r>
    </w:p>
  </w:footnote>
  <w:footnote w:type="continuationNotice" w:id="1">
    <w:p w14:paraId="38F05C2C" w14:textId="77777777" w:rsidR="000B50F3" w:rsidRDefault="000B50F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460C67" w:rsidRDefault="00460C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460C67" w:rsidRDefault="00460C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B9266CA"/>
    <w:lvl w:ilvl="0">
      <w:start w:val="1"/>
      <w:numFmt w:val="decimal"/>
      <w:lvlText w:val="%1."/>
      <w:lvlJc w:val="left"/>
      <w:pPr>
        <w:tabs>
          <w:tab w:val="num" w:pos="1492"/>
        </w:tabs>
        <w:ind w:left="1492" w:hanging="360"/>
      </w:pPr>
    </w:lvl>
  </w:abstractNum>
  <w:abstractNum w:abstractNumId="1">
    <w:nsid w:val="FFFFFF7D"/>
    <w:multiLevelType w:val="singleLevel"/>
    <w:tmpl w:val="A80AF504"/>
    <w:lvl w:ilvl="0">
      <w:start w:val="1"/>
      <w:numFmt w:val="decimal"/>
      <w:lvlText w:val="%1."/>
      <w:lvlJc w:val="left"/>
      <w:pPr>
        <w:tabs>
          <w:tab w:val="num" w:pos="1209"/>
        </w:tabs>
        <w:ind w:left="1209" w:hanging="360"/>
      </w:pPr>
    </w:lvl>
  </w:abstractNum>
  <w:abstractNum w:abstractNumId="2">
    <w:nsid w:val="FFFFFF7E"/>
    <w:multiLevelType w:val="singleLevel"/>
    <w:tmpl w:val="2CDC397C"/>
    <w:lvl w:ilvl="0">
      <w:start w:val="1"/>
      <w:numFmt w:val="decimal"/>
      <w:lvlText w:val="%1."/>
      <w:lvlJc w:val="left"/>
      <w:pPr>
        <w:tabs>
          <w:tab w:val="num" w:pos="926"/>
        </w:tabs>
        <w:ind w:left="926" w:hanging="360"/>
      </w:pPr>
    </w:lvl>
  </w:abstractNum>
  <w:abstractNum w:abstractNumId="3">
    <w:nsid w:val="FFFFFF89"/>
    <w:multiLevelType w:val="singleLevel"/>
    <w:tmpl w:val="8D9618A0"/>
    <w:lvl w:ilvl="0">
      <w:start w:val="1"/>
      <w:numFmt w:val="bullet"/>
      <w:lvlText w:val=""/>
      <w:lvlJc w:val="left"/>
      <w:pPr>
        <w:tabs>
          <w:tab w:val="num" w:pos="360"/>
        </w:tabs>
        <w:ind w:left="360"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43929C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4446"/>
        </w:tabs>
        <w:ind w:left="4446" w:hanging="576"/>
      </w:pPr>
      <w:rPr>
        <w:rFonts w:hint="default"/>
      </w:rPr>
    </w:lvl>
    <w:lvl w:ilvl="2">
      <w:start w:val="1"/>
      <w:numFmt w:val="decimal"/>
      <w:pStyle w:val="Heading3"/>
      <w:lvlText w:val="%1.%2.%3"/>
      <w:lvlJc w:val="left"/>
      <w:pPr>
        <w:tabs>
          <w:tab w:val="num" w:pos="1429"/>
        </w:tabs>
        <w:ind w:left="1429"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DA51E06"/>
    <w:multiLevelType w:val="hybridMultilevel"/>
    <w:tmpl w:val="79507864"/>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05C5156"/>
    <w:multiLevelType w:val="hybridMultilevel"/>
    <w:tmpl w:val="2ABE235A"/>
    <w:lvl w:ilvl="0" w:tplc="B7E0BB1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557DD9"/>
    <w:multiLevelType w:val="hybridMultilevel"/>
    <w:tmpl w:val="00147486"/>
    <w:lvl w:ilvl="0" w:tplc="34A8753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BD60F5"/>
    <w:multiLevelType w:val="hybridMultilevel"/>
    <w:tmpl w:val="A6E087D2"/>
    <w:lvl w:ilvl="0" w:tplc="1444F984">
      <w:start w:val="1"/>
      <w:numFmt w:val="bullet"/>
      <w:lvlText w:val="›"/>
      <w:lvlJc w:val="left"/>
      <w:pPr>
        <w:tabs>
          <w:tab w:val="num" w:pos="720"/>
        </w:tabs>
        <w:ind w:left="720" w:hanging="360"/>
      </w:pPr>
      <w:rPr>
        <w:rFonts w:ascii="Arial" w:hAnsi="Arial" w:hint="default"/>
      </w:rPr>
    </w:lvl>
    <w:lvl w:ilvl="1" w:tplc="D7E65402" w:tentative="1">
      <w:start w:val="1"/>
      <w:numFmt w:val="bullet"/>
      <w:lvlText w:val="›"/>
      <w:lvlJc w:val="left"/>
      <w:pPr>
        <w:tabs>
          <w:tab w:val="num" w:pos="1440"/>
        </w:tabs>
        <w:ind w:left="1440" w:hanging="360"/>
      </w:pPr>
      <w:rPr>
        <w:rFonts w:ascii="Arial" w:hAnsi="Arial" w:hint="default"/>
      </w:rPr>
    </w:lvl>
    <w:lvl w:ilvl="2" w:tplc="2034EAEC" w:tentative="1">
      <w:start w:val="1"/>
      <w:numFmt w:val="bullet"/>
      <w:lvlText w:val="›"/>
      <w:lvlJc w:val="left"/>
      <w:pPr>
        <w:tabs>
          <w:tab w:val="num" w:pos="2160"/>
        </w:tabs>
        <w:ind w:left="2160" w:hanging="360"/>
      </w:pPr>
      <w:rPr>
        <w:rFonts w:ascii="Arial" w:hAnsi="Arial" w:hint="default"/>
      </w:rPr>
    </w:lvl>
    <w:lvl w:ilvl="3" w:tplc="28E42912" w:tentative="1">
      <w:start w:val="1"/>
      <w:numFmt w:val="bullet"/>
      <w:lvlText w:val="›"/>
      <w:lvlJc w:val="left"/>
      <w:pPr>
        <w:tabs>
          <w:tab w:val="num" w:pos="2880"/>
        </w:tabs>
        <w:ind w:left="2880" w:hanging="360"/>
      </w:pPr>
      <w:rPr>
        <w:rFonts w:ascii="Arial" w:hAnsi="Arial" w:hint="default"/>
      </w:rPr>
    </w:lvl>
    <w:lvl w:ilvl="4" w:tplc="F4CA9734" w:tentative="1">
      <w:start w:val="1"/>
      <w:numFmt w:val="bullet"/>
      <w:lvlText w:val="›"/>
      <w:lvlJc w:val="left"/>
      <w:pPr>
        <w:tabs>
          <w:tab w:val="num" w:pos="3600"/>
        </w:tabs>
        <w:ind w:left="3600" w:hanging="360"/>
      </w:pPr>
      <w:rPr>
        <w:rFonts w:ascii="Arial" w:hAnsi="Arial" w:hint="default"/>
      </w:rPr>
    </w:lvl>
    <w:lvl w:ilvl="5" w:tplc="1BD418BE" w:tentative="1">
      <w:start w:val="1"/>
      <w:numFmt w:val="bullet"/>
      <w:lvlText w:val="›"/>
      <w:lvlJc w:val="left"/>
      <w:pPr>
        <w:tabs>
          <w:tab w:val="num" w:pos="4320"/>
        </w:tabs>
        <w:ind w:left="4320" w:hanging="360"/>
      </w:pPr>
      <w:rPr>
        <w:rFonts w:ascii="Arial" w:hAnsi="Arial" w:hint="default"/>
      </w:rPr>
    </w:lvl>
    <w:lvl w:ilvl="6" w:tplc="7942551E" w:tentative="1">
      <w:start w:val="1"/>
      <w:numFmt w:val="bullet"/>
      <w:lvlText w:val="›"/>
      <w:lvlJc w:val="left"/>
      <w:pPr>
        <w:tabs>
          <w:tab w:val="num" w:pos="5040"/>
        </w:tabs>
        <w:ind w:left="5040" w:hanging="360"/>
      </w:pPr>
      <w:rPr>
        <w:rFonts w:ascii="Arial" w:hAnsi="Arial" w:hint="default"/>
      </w:rPr>
    </w:lvl>
    <w:lvl w:ilvl="7" w:tplc="F60CE8F2" w:tentative="1">
      <w:start w:val="1"/>
      <w:numFmt w:val="bullet"/>
      <w:lvlText w:val="›"/>
      <w:lvlJc w:val="left"/>
      <w:pPr>
        <w:tabs>
          <w:tab w:val="num" w:pos="5760"/>
        </w:tabs>
        <w:ind w:left="5760" w:hanging="360"/>
      </w:pPr>
      <w:rPr>
        <w:rFonts w:ascii="Arial" w:hAnsi="Arial" w:hint="default"/>
      </w:rPr>
    </w:lvl>
    <w:lvl w:ilvl="8" w:tplc="1AB6F638" w:tentative="1">
      <w:start w:val="1"/>
      <w:numFmt w:val="bullet"/>
      <w:lvlText w:val="›"/>
      <w:lvlJc w:val="left"/>
      <w:pPr>
        <w:tabs>
          <w:tab w:val="num" w:pos="6480"/>
        </w:tabs>
        <w:ind w:left="6480" w:hanging="360"/>
      </w:pPr>
      <w:rPr>
        <w:rFonts w:ascii="Arial" w:hAnsi="Arial" w:hint="default"/>
      </w:rPr>
    </w:lvl>
  </w:abstractNum>
  <w:abstractNum w:abstractNumId="12">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F7162EC"/>
    <w:multiLevelType w:val="hybridMultilevel"/>
    <w:tmpl w:val="6312258E"/>
    <w:lvl w:ilvl="0" w:tplc="244CC934">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A235AA"/>
    <w:multiLevelType w:val="hybridMultilevel"/>
    <w:tmpl w:val="0C6AA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F372011"/>
    <w:multiLevelType w:val="hybridMultilevel"/>
    <w:tmpl w:val="C7E0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A46647"/>
    <w:multiLevelType w:val="hybridMultilevel"/>
    <w:tmpl w:val="5D643956"/>
    <w:lvl w:ilvl="0" w:tplc="16C038EC">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nsid w:val="40122FE5"/>
    <w:multiLevelType w:val="hybridMultilevel"/>
    <w:tmpl w:val="3EF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0F6E2A"/>
    <w:multiLevelType w:val="hybridMultilevel"/>
    <w:tmpl w:val="1E04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3E43B65"/>
    <w:multiLevelType w:val="hybridMultilevel"/>
    <w:tmpl w:val="786A2138"/>
    <w:lvl w:ilvl="0" w:tplc="DB90BBB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46DE0731"/>
    <w:multiLevelType w:val="hybridMultilevel"/>
    <w:tmpl w:val="5E185B04"/>
    <w:lvl w:ilvl="0" w:tplc="00483E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31">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nsid w:val="55486537"/>
    <w:multiLevelType w:val="hybridMultilevel"/>
    <w:tmpl w:val="A4D6242C"/>
    <w:lvl w:ilvl="0" w:tplc="D57A3BE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5C265AFB"/>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3F86E17"/>
    <w:multiLevelType w:val="hybridMultilevel"/>
    <w:tmpl w:val="86722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5EC6931"/>
    <w:multiLevelType w:val="hybridMultilevel"/>
    <w:tmpl w:val="75EA18D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4">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7">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23068E8"/>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nsid w:val="73903C3D"/>
    <w:multiLevelType w:val="hybridMultilevel"/>
    <w:tmpl w:val="83140140"/>
    <w:lvl w:ilvl="0" w:tplc="5308F488">
      <w:start w:val="1"/>
      <w:numFmt w:val="bullet"/>
      <w:lvlText w:val="›"/>
      <w:lvlJc w:val="left"/>
      <w:pPr>
        <w:tabs>
          <w:tab w:val="num" w:pos="720"/>
        </w:tabs>
        <w:ind w:left="720" w:hanging="360"/>
      </w:pPr>
      <w:rPr>
        <w:rFonts w:ascii="Arial" w:hAnsi="Arial" w:hint="default"/>
      </w:rPr>
    </w:lvl>
    <w:lvl w:ilvl="1" w:tplc="8F6CA612">
      <w:start w:val="2470"/>
      <w:numFmt w:val="bullet"/>
      <w:lvlText w:val="–"/>
      <w:lvlJc w:val="left"/>
      <w:pPr>
        <w:tabs>
          <w:tab w:val="num" w:pos="1440"/>
        </w:tabs>
        <w:ind w:left="1440" w:hanging="360"/>
      </w:pPr>
      <w:rPr>
        <w:rFonts w:ascii="Ericsson Capital TT" w:hAnsi="Ericsson Capital TT" w:hint="default"/>
      </w:rPr>
    </w:lvl>
    <w:lvl w:ilvl="2" w:tplc="842E6C08" w:tentative="1">
      <w:start w:val="1"/>
      <w:numFmt w:val="bullet"/>
      <w:lvlText w:val="›"/>
      <w:lvlJc w:val="left"/>
      <w:pPr>
        <w:tabs>
          <w:tab w:val="num" w:pos="2160"/>
        </w:tabs>
        <w:ind w:left="2160" w:hanging="360"/>
      </w:pPr>
      <w:rPr>
        <w:rFonts w:ascii="Arial" w:hAnsi="Arial" w:hint="default"/>
      </w:rPr>
    </w:lvl>
    <w:lvl w:ilvl="3" w:tplc="D5E4435A" w:tentative="1">
      <w:start w:val="1"/>
      <w:numFmt w:val="bullet"/>
      <w:lvlText w:val="›"/>
      <w:lvlJc w:val="left"/>
      <w:pPr>
        <w:tabs>
          <w:tab w:val="num" w:pos="2880"/>
        </w:tabs>
        <w:ind w:left="2880" w:hanging="360"/>
      </w:pPr>
      <w:rPr>
        <w:rFonts w:ascii="Arial" w:hAnsi="Arial" w:hint="default"/>
      </w:rPr>
    </w:lvl>
    <w:lvl w:ilvl="4" w:tplc="31FA965E" w:tentative="1">
      <w:start w:val="1"/>
      <w:numFmt w:val="bullet"/>
      <w:lvlText w:val="›"/>
      <w:lvlJc w:val="left"/>
      <w:pPr>
        <w:tabs>
          <w:tab w:val="num" w:pos="3600"/>
        </w:tabs>
        <w:ind w:left="3600" w:hanging="360"/>
      </w:pPr>
      <w:rPr>
        <w:rFonts w:ascii="Arial" w:hAnsi="Arial" w:hint="default"/>
      </w:rPr>
    </w:lvl>
    <w:lvl w:ilvl="5" w:tplc="24B2384C" w:tentative="1">
      <w:start w:val="1"/>
      <w:numFmt w:val="bullet"/>
      <w:lvlText w:val="›"/>
      <w:lvlJc w:val="left"/>
      <w:pPr>
        <w:tabs>
          <w:tab w:val="num" w:pos="4320"/>
        </w:tabs>
        <w:ind w:left="4320" w:hanging="360"/>
      </w:pPr>
      <w:rPr>
        <w:rFonts w:ascii="Arial" w:hAnsi="Arial" w:hint="default"/>
      </w:rPr>
    </w:lvl>
    <w:lvl w:ilvl="6" w:tplc="4190910E" w:tentative="1">
      <w:start w:val="1"/>
      <w:numFmt w:val="bullet"/>
      <w:lvlText w:val="›"/>
      <w:lvlJc w:val="left"/>
      <w:pPr>
        <w:tabs>
          <w:tab w:val="num" w:pos="5040"/>
        </w:tabs>
        <w:ind w:left="5040" w:hanging="360"/>
      </w:pPr>
      <w:rPr>
        <w:rFonts w:ascii="Arial" w:hAnsi="Arial" w:hint="default"/>
      </w:rPr>
    </w:lvl>
    <w:lvl w:ilvl="7" w:tplc="37DEB634" w:tentative="1">
      <w:start w:val="1"/>
      <w:numFmt w:val="bullet"/>
      <w:lvlText w:val="›"/>
      <w:lvlJc w:val="left"/>
      <w:pPr>
        <w:tabs>
          <w:tab w:val="num" w:pos="5760"/>
        </w:tabs>
        <w:ind w:left="5760" w:hanging="360"/>
      </w:pPr>
      <w:rPr>
        <w:rFonts w:ascii="Arial" w:hAnsi="Arial" w:hint="default"/>
      </w:rPr>
    </w:lvl>
    <w:lvl w:ilvl="8" w:tplc="94B8F6AA" w:tentative="1">
      <w:start w:val="1"/>
      <w:numFmt w:val="bullet"/>
      <w:lvlText w:val="›"/>
      <w:lvlJc w:val="left"/>
      <w:pPr>
        <w:tabs>
          <w:tab w:val="num" w:pos="6480"/>
        </w:tabs>
        <w:ind w:left="6480" w:hanging="360"/>
      </w:pPr>
      <w:rPr>
        <w:rFonts w:ascii="Arial" w:hAnsi="Arial" w:hint="default"/>
      </w:rPr>
    </w:lvl>
  </w:abstractNum>
  <w:abstractNum w:abstractNumId="51">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52">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8C619CC"/>
    <w:multiLevelType w:val="hybridMultilevel"/>
    <w:tmpl w:val="D8C0F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B343BA2"/>
    <w:multiLevelType w:val="hybridMultilevel"/>
    <w:tmpl w:val="F5F8C006"/>
    <w:lvl w:ilvl="0" w:tplc="427869AC">
      <w:start w:val="1"/>
      <w:numFmt w:val="bullet"/>
      <w:lvlText w:val="›"/>
      <w:lvlJc w:val="left"/>
      <w:pPr>
        <w:tabs>
          <w:tab w:val="num" w:pos="720"/>
        </w:tabs>
        <w:ind w:left="720" w:hanging="360"/>
      </w:pPr>
      <w:rPr>
        <w:rFonts w:ascii="Arial" w:hAnsi="Arial" w:hint="default"/>
      </w:rPr>
    </w:lvl>
    <w:lvl w:ilvl="1" w:tplc="6A746916">
      <w:start w:val="853"/>
      <w:numFmt w:val="bullet"/>
      <w:lvlText w:val="–"/>
      <w:lvlJc w:val="left"/>
      <w:pPr>
        <w:tabs>
          <w:tab w:val="num" w:pos="1440"/>
        </w:tabs>
        <w:ind w:left="1440" w:hanging="360"/>
      </w:pPr>
      <w:rPr>
        <w:rFonts w:ascii="Ericsson Capital TT" w:hAnsi="Ericsson Capital TT" w:hint="default"/>
      </w:rPr>
    </w:lvl>
    <w:lvl w:ilvl="2" w:tplc="F256671C">
      <w:start w:val="853"/>
      <w:numFmt w:val="bullet"/>
      <w:lvlText w:val="›"/>
      <w:lvlJc w:val="left"/>
      <w:pPr>
        <w:tabs>
          <w:tab w:val="num" w:pos="2160"/>
        </w:tabs>
        <w:ind w:left="2160" w:hanging="360"/>
      </w:pPr>
      <w:rPr>
        <w:rFonts w:ascii="Ericsson Capital TT" w:hAnsi="Ericsson Capital TT" w:hint="default"/>
      </w:rPr>
    </w:lvl>
    <w:lvl w:ilvl="3" w:tplc="FE0CC08C" w:tentative="1">
      <w:start w:val="1"/>
      <w:numFmt w:val="bullet"/>
      <w:lvlText w:val="›"/>
      <w:lvlJc w:val="left"/>
      <w:pPr>
        <w:tabs>
          <w:tab w:val="num" w:pos="2880"/>
        </w:tabs>
        <w:ind w:left="2880" w:hanging="360"/>
      </w:pPr>
      <w:rPr>
        <w:rFonts w:ascii="Arial" w:hAnsi="Arial" w:hint="default"/>
      </w:rPr>
    </w:lvl>
    <w:lvl w:ilvl="4" w:tplc="445ABA40" w:tentative="1">
      <w:start w:val="1"/>
      <w:numFmt w:val="bullet"/>
      <w:lvlText w:val="›"/>
      <w:lvlJc w:val="left"/>
      <w:pPr>
        <w:tabs>
          <w:tab w:val="num" w:pos="3600"/>
        </w:tabs>
        <w:ind w:left="3600" w:hanging="360"/>
      </w:pPr>
      <w:rPr>
        <w:rFonts w:ascii="Arial" w:hAnsi="Arial" w:hint="default"/>
      </w:rPr>
    </w:lvl>
    <w:lvl w:ilvl="5" w:tplc="BC4AD784" w:tentative="1">
      <w:start w:val="1"/>
      <w:numFmt w:val="bullet"/>
      <w:lvlText w:val="›"/>
      <w:lvlJc w:val="left"/>
      <w:pPr>
        <w:tabs>
          <w:tab w:val="num" w:pos="4320"/>
        </w:tabs>
        <w:ind w:left="4320" w:hanging="360"/>
      </w:pPr>
      <w:rPr>
        <w:rFonts w:ascii="Arial" w:hAnsi="Arial" w:hint="default"/>
      </w:rPr>
    </w:lvl>
    <w:lvl w:ilvl="6" w:tplc="7A2A080C" w:tentative="1">
      <w:start w:val="1"/>
      <w:numFmt w:val="bullet"/>
      <w:lvlText w:val="›"/>
      <w:lvlJc w:val="left"/>
      <w:pPr>
        <w:tabs>
          <w:tab w:val="num" w:pos="5040"/>
        </w:tabs>
        <w:ind w:left="5040" w:hanging="360"/>
      </w:pPr>
      <w:rPr>
        <w:rFonts w:ascii="Arial" w:hAnsi="Arial" w:hint="default"/>
      </w:rPr>
    </w:lvl>
    <w:lvl w:ilvl="7" w:tplc="1520B906" w:tentative="1">
      <w:start w:val="1"/>
      <w:numFmt w:val="bullet"/>
      <w:lvlText w:val="›"/>
      <w:lvlJc w:val="left"/>
      <w:pPr>
        <w:tabs>
          <w:tab w:val="num" w:pos="5760"/>
        </w:tabs>
        <w:ind w:left="5760" w:hanging="360"/>
      </w:pPr>
      <w:rPr>
        <w:rFonts w:ascii="Arial" w:hAnsi="Arial" w:hint="default"/>
      </w:rPr>
    </w:lvl>
    <w:lvl w:ilvl="8" w:tplc="90A2026E" w:tentative="1">
      <w:start w:val="1"/>
      <w:numFmt w:val="bullet"/>
      <w:lvlText w:val="›"/>
      <w:lvlJc w:val="left"/>
      <w:pPr>
        <w:tabs>
          <w:tab w:val="num" w:pos="6480"/>
        </w:tabs>
        <w:ind w:left="6480" w:hanging="360"/>
      </w:pPr>
      <w:rPr>
        <w:rFonts w:ascii="Arial" w:hAnsi="Arial" w:hint="default"/>
      </w:rPr>
    </w:lvl>
  </w:abstractNum>
  <w:abstractNum w:abstractNumId="56">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D6F6DF5"/>
    <w:multiLevelType w:val="hybridMultilevel"/>
    <w:tmpl w:val="2DB83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EE74151"/>
    <w:multiLevelType w:val="hybridMultilevel"/>
    <w:tmpl w:val="2BF49DC6"/>
    <w:lvl w:ilvl="0" w:tplc="F21CD0CE">
      <w:start w:val="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21"/>
  </w:num>
  <w:num w:numId="4">
    <w:abstractNumId w:val="22"/>
  </w:num>
  <w:num w:numId="5">
    <w:abstractNumId w:val="19"/>
  </w:num>
  <w:num w:numId="6">
    <w:abstractNumId w:val="26"/>
  </w:num>
  <w:num w:numId="7">
    <w:abstractNumId w:val="39"/>
  </w:num>
  <w:num w:numId="8">
    <w:abstractNumId w:val="20"/>
  </w:num>
  <w:num w:numId="9">
    <w:abstractNumId w:val="17"/>
  </w:num>
  <w:num w:numId="10">
    <w:abstractNumId w:val="2"/>
  </w:num>
  <w:num w:numId="11">
    <w:abstractNumId w:val="1"/>
  </w:num>
  <w:num w:numId="12">
    <w:abstractNumId w:val="0"/>
  </w:num>
  <w:num w:numId="13">
    <w:abstractNumId w:val="34"/>
  </w:num>
  <w:num w:numId="14">
    <w:abstractNumId w:val="31"/>
  </w:num>
  <w:num w:numId="15">
    <w:abstractNumId w:val="6"/>
  </w:num>
  <w:num w:numId="16">
    <w:abstractNumId w:val="33"/>
  </w:num>
  <w:num w:numId="17">
    <w:abstractNumId w:val="23"/>
  </w:num>
  <w:num w:numId="18">
    <w:abstractNumId w:val="35"/>
  </w:num>
  <w:num w:numId="19">
    <w:abstractNumId w:val="36"/>
  </w:num>
  <w:num w:numId="20">
    <w:abstractNumId w:val="8"/>
  </w:num>
  <w:num w:numId="21">
    <w:abstractNumId w:val="46"/>
  </w:num>
  <w:num w:numId="22">
    <w:abstractNumId w:val="44"/>
  </w:num>
  <w:num w:numId="23">
    <w:abstractNumId w:val="15"/>
  </w:num>
  <w:num w:numId="24">
    <w:abstractNumId w:val="21"/>
  </w:num>
  <w:num w:numId="25">
    <w:abstractNumId w:val="21"/>
    <w:lvlOverride w:ilvl="0">
      <w:startOverride w:val="1"/>
    </w:lvlOverride>
  </w:num>
  <w:num w:numId="26">
    <w:abstractNumId w:val="21"/>
    <w:lvlOverride w:ilvl="0">
      <w:startOverride w:val="1"/>
    </w:lvlOverride>
  </w:num>
  <w:num w:numId="27">
    <w:abstractNumId w:val="21"/>
    <w:lvlOverride w:ilvl="0">
      <w:startOverride w:val="1"/>
    </w:lvlOverride>
  </w:num>
  <w:num w:numId="28">
    <w:abstractNumId w:val="45"/>
  </w:num>
  <w:num w:numId="29">
    <w:abstractNumId w:val="48"/>
  </w:num>
  <w:num w:numId="30">
    <w:abstractNumId w:val="47"/>
  </w:num>
  <w:num w:numId="31">
    <w:abstractNumId w:val="41"/>
  </w:num>
  <w:num w:numId="32">
    <w:abstractNumId w:val="38"/>
  </w:num>
  <w:num w:numId="33">
    <w:abstractNumId w:val="16"/>
  </w:num>
  <w:num w:numId="34">
    <w:abstractNumId w:val="30"/>
  </w:num>
  <w:num w:numId="35">
    <w:abstractNumId w:val="51"/>
  </w:num>
  <w:num w:numId="36">
    <w:abstractNumId w:val="56"/>
  </w:num>
  <w:num w:numId="37">
    <w:abstractNumId w:val="54"/>
  </w:num>
  <w:num w:numId="38">
    <w:abstractNumId w:val="52"/>
  </w:num>
  <w:num w:numId="39">
    <w:abstractNumId w:val="18"/>
  </w:num>
  <w:num w:numId="40">
    <w:abstractNumId w:val="50"/>
  </w:num>
  <w:num w:numId="41">
    <w:abstractNumId w:val="49"/>
  </w:num>
  <w:num w:numId="42">
    <w:abstractNumId w:val="29"/>
  </w:num>
  <w:num w:numId="43">
    <w:abstractNumId w:val="40"/>
  </w:num>
  <w:num w:numId="44">
    <w:abstractNumId w:val="58"/>
  </w:num>
  <w:num w:numId="45">
    <w:abstractNumId w:val="42"/>
  </w:num>
  <w:num w:numId="46">
    <w:abstractNumId w:val="53"/>
  </w:num>
  <w:num w:numId="47">
    <w:abstractNumId w:val="7"/>
  </w:num>
  <w:num w:numId="4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2"/>
  </w:num>
  <w:num w:numId="50">
    <w:abstractNumId w:val="28"/>
  </w:num>
  <w:num w:numId="51">
    <w:abstractNumId w:val="14"/>
  </w:num>
  <w:num w:numId="52">
    <w:abstractNumId w:val="3"/>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num>
  <w:num w:numId="55">
    <w:abstractNumId w:val="57"/>
  </w:num>
  <w:num w:numId="56">
    <w:abstractNumId w:val="55"/>
  </w:num>
  <w:num w:numId="57">
    <w:abstractNumId w:val="11"/>
  </w:num>
  <w:num w:numId="58">
    <w:abstractNumId w:val="43"/>
  </w:num>
  <w:num w:numId="59">
    <w:abstractNumId w:val="37"/>
  </w:num>
  <w:num w:numId="60">
    <w:abstractNumId w:val="27"/>
  </w:num>
  <w:num w:numId="61">
    <w:abstractNumId w:val="24"/>
  </w:num>
  <w:num w:numId="62">
    <w:abstractNumId w:val="13"/>
  </w:num>
  <w:num w:numId="63">
    <w:abstractNumId w:val="21"/>
    <w:lvlOverride w:ilvl="0">
      <w:startOverride w:val="1"/>
    </w:lvlOverride>
  </w:num>
  <w:num w:numId="64">
    <w:abstractNumId w:val="9"/>
  </w:num>
  <w:num w:numId="65">
    <w:abstractNumId w:val="25"/>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4B4"/>
    <w:rsid w:val="00006896"/>
    <w:rsid w:val="00007CDC"/>
    <w:rsid w:val="00011B28"/>
    <w:rsid w:val="00012CA8"/>
    <w:rsid w:val="00014632"/>
    <w:rsid w:val="00014A15"/>
    <w:rsid w:val="00015D15"/>
    <w:rsid w:val="00016927"/>
    <w:rsid w:val="00016C36"/>
    <w:rsid w:val="00023678"/>
    <w:rsid w:val="000237CD"/>
    <w:rsid w:val="0002564D"/>
    <w:rsid w:val="00025ECA"/>
    <w:rsid w:val="00026B3C"/>
    <w:rsid w:val="000325B8"/>
    <w:rsid w:val="00032C1E"/>
    <w:rsid w:val="000346AF"/>
    <w:rsid w:val="00034C15"/>
    <w:rsid w:val="0003595F"/>
    <w:rsid w:val="00036BA1"/>
    <w:rsid w:val="00036E19"/>
    <w:rsid w:val="000422E2"/>
    <w:rsid w:val="00042F22"/>
    <w:rsid w:val="0004395C"/>
    <w:rsid w:val="000444EF"/>
    <w:rsid w:val="00047DBE"/>
    <w:rsid w:val="00047F1B"/>
    <w:rsid w:val="00050CBD"/>
    <w:rsid w:val="00052A07"/>
    <w:rsid w:val="000534E3"/>
    <w:rsid w:val="00053C13"/>
    <w:rsid w:val="00055BC1"/>
    <w:rsid w:val="00055F98"/>
    <w:rsid w:val="0005606A"/>
    <w:rsid w:val="00057117"/>
    <w:rsid w:val="000609B7"/>
    <w:rsid w:val="000616E7"/>
    <w:rsid w:val="00061EB1"/>
    <w:rsid w:val="0006487E"/>
    <w:rsid w:val="00065E1A"/>
    <w:rsid w:val="000668D7"/>
    <w:rsid w:val="00070EAF"/>
    <w:rsid w:val="00070FBD"/>
    <w:rsid w:val="00072A7B"/>
    <w:rsid w:val="00074E1A"/>
    <w:rsid w:val="00075985"/>
    <w:rsid w:val="0007709A"/>
    <w:rsid w:val="00077E5F"/>
    <w:rsid w:val="0008036A"/>
    <w:rsid w:val="00081843"/>
    <w:rsid w:val="00081AE6"/>
    <w:rsid w:val="0008287D"/>
    <w:rsid w:val="00084170"/>
    <w:rsid w:val="000855EB"/>
    <w:rsid w:val="00085B52"/>
    <w:rsid w:val="000866F2"/>
    <w:rsid w:val="0009009F"/>
    <w:rsid w:val="00090CCA"/>
    <w:rsid w:val="00090DBC"/>
    <w:rsid w:val="00091557"/>
    <w:rsid w:val="000919F9"/>
    <w:rsid w:val="00092304"/>
    <w:rsid w:val="000924C1"/>
    <w:rsid w:val="000924F0"/>
    <w:rsid w:val="00093474"/>
    <w:rsid w:val="0009510F"/>
    <w:rsid w:val="0009617B"/>
    <w:rsid w:val="000A08D8"/>
    <w:rsid w:val="000A0AFD"/>
    <w:rsid w:val="000A1302"/>
    <w:rsid w:val="000A1B7B"/>
    <w:rsid w:val="000A36C3"/>
    <w:rsid w:val="000A3C6B"/>
    <w:rsid w:val="000A56F2"/>
    <w:rsid w:val="000A57F6"/>
    <w:rsid w:val="000B135A"/>
    <w:rsid w:val="000B13C3"/>
    <w:rsid w:val="000B2719"/>
    <w:rsid w:val="000B3A8F"/>
    <w:rsid w:val="000B4AB9"/>
    <w:rsid w:val="000B50F3"/>
    <w:rsid w:val="000B58C3"/>
    <w:rsid w:val="000B61E9"/>
    <w:rsid w:val="000C038F"/>
    <w:rsid w:val="000C0D8A"/>
    <w:rsid w:val="000C1335"/>
    <w:rsid w:val="000C145C"/>
    <w:rsid w:val="000C165A"/>
    <w:rsid w:val="000C27C5"/>
    <w:rsid w:val="000C2E19"/>
    <w:rsid w:val="000C4FDC"/>
    <w:rsid w:val="000C7397"/>
    <w:rsid w:val="000D043C"/>
    <w:rsid w:val="000D0D07"/>
    <w:rsid w:val="000D2D69"/>
    <w:rsid w:val="000D4797"/>
    <w:rsid w:val="000D6C88"/>
    <w:rsid w:val="000E0527"/>
    <w:rsid w:val="000E14CD"/>
    <w:rsid w:val="000E1E92"/>
    <w:rsid w:val="000E4FD6"/>
    <w:rsid w:val="000F06D6"/>
    <w:rsid w:val="000F0EB1"/>
    <w:rsid w:val="000F1106"/>
    <w:rsid w:val="000F395E"/>
    <w:rsid w:val="000F3BE9"/>
    <w:rsid w:val="000F3F6C"/>
    <w:rsid w:val="000F6113"/>
    <w:rsid w:val="000F6DF3"/>
    <w:rsid w:val="001005FF"/>
    <w:rsid w:val="00100F45"/>
    <w:rsid w:val="001062FB"/>
    <w:rsid w:val="001063E6"/>
    <w:rsid w:val="00110233"/>
    <w:rsid w:val="001112D9"/>
    <w:rsid w:val="00111528"/>
    <w:rsid w:val="00111C55"/>
    <w:rsid w:val="00113CF4"/>
    <w:rsid w:val="001148DE"/>
    <w:rsid w:val="00115204"/>
    <w:rsid w:val="0011533F"/>
    <w:rsid w:val="001153EA"/>
    <w:rsid w:val="00115643"/>
    <w:rsid w:val="001163DE"/>
    <w:rsid w:val="001165DF"/>
    <w:rsid w:val="00116765"/>
    <w:rsid w:val="001175E7"/>
    <w:rsid w:val="00121646"/>
    <w:rsid w:val="001219F5"/>
    <w:rsid w:val="00121A20"/>
    <w:rsid w:val="0012377F"/>
    <w:rsid w:val="00123892"/>
    <w:rsid w:val="00124314"/>
    <w:rsid w:val="001247A9"/>
    <w:rsid w:val="00125675"/>
    <w:rsid w:val="00126B4A"/>
    <w:rsid w:val="001270D3"/>
    <w:rsid w:val="00132FD0"/>
    <w:rsid w:val="00133046"/>
    <w:rsid w:val="001344C0"/>
    <w:rsid w:val="001346FA"/>
    <w:rsid w:val="00134A8A"/>
    <w:rsid w:val="00135252"/>
    <w:rsid w:val="00136D89"/>
    <w:rsid w:val="00137728"/>
    <w:rsid w:val="00137AB5"/>
    <w:rsid w:val="00137F0B"/>
    <w:rsid w:val="0014242A"/>
    <w:rsid w:val="00143008"/>
    <w:rsid w:val="00143981"/>
    <w:rsid w:val="00145437"/>
    <w:rsid w:val="00146CBD"/>
    <w:rsid w:val="0014787F"/>
    <w:rsid w:val="001501DF"/>
    <w:rsid w:val="00151E23"/>
    <w:rsid w:val="001526E0"/>
    <w:rsid w:val="00154F6F"/>
    <w:rsid w:val="001551B5"/>
    <w:rsid w:val="00155B67"/>
    <w:rsid w:val="0015609B"/>
    <w:rsid w:val="00156C41"/>
    <w:rsid w:val="001619D5"/>
    <w:rsid w:val="00161D58"/>
    <w:rsid w:val="0016231E"/>
    <w:rsid w:val="00162B29"/>
    <w:rsid w:val="001659C1"/>
    <w:rsid w:val="00165F18"/>
    <w:rsid w:val="0016637B"/>
    <w:rsid w:val="00173A8E"/>
    <w:rsid w:val="00177587"/>
    <w:rsid w:val="0018143F"/>
    <w:rsid w:val="00184610"/>
    <w:rsid w:val="00186A03"/>
    <w:rsid w:val="00187E11"/>
    <w:rsid w:val="00190AC1"/>
    <w:rsid w:val="0019341A"/>
    <w:rsid w:val="00193507"/>
    <w:rsid w:val="00193CFB"/>
    <w:rsid w:val="00193E67"/>
    <w:rsid w:val="0019501B"/>
    <w:rsid w:val="001955A4"/>
    <w:rsid w:val="00195BB9"/>
    <w:rsid w:val="00197DF9"/>
    <w:rsid w:val="001A1987"/>
    <w:rsid w:val="001A2564"/>
    <w:rsid w:val="001A2B06"/>
    <w:rsid w:val="001A2BE3"/>
    <w:rsid w:val="001A3BFF"/>
    <w:rsid w:val="001A3E31"/>
    <w:rsid w:val="001A6173"/>
    <w:rsid w:val="001A65E5"/>
    <w:rsid w:val="001A6CBA"/>
    <w:rsid w:val="001B0D97"/>
    <w:rsid w:val="001B1565"/>
    <w:rsid w:val="001B5A5D"/>
    <w:rsid w:val="001B644E"/>
    <w:rsid w:val="001C012C"/>
    <w:rsid w:val="001C06B5"/>
    <w:rsid w:val="001C14B6"/>
    <w:rsid w:val="001C1CE5"/>
    <w:rsid w:val="001C3D2A"/>
    <w:rsid w:val="001C4EEE"/>
    <w:rsid w:val="001C5759"/>
    <w:rsid w:val="001C597C"/>
    <w:rsid w:val="001D07CF"/>
    <w:rsid w:val="001D0E26"/>
    <w:rsid w:val="001D1598"/>
    <w:rsid w:val="001D20C3"/>
    <w:rsid w:val="001D37B3"/>
    <w:rsid w:val="001D4451"/>
    <w:rsid w:val="001D51BA"/>
    <w:rsid w:val="001D5491"/>
    <w:rsid w:val="001D61A9"/>
    <w:rsid w:val="001D6342"/>
    <w:rsid w:val="001D6D53"/>
    <w:rsid w:val="001E0114"/>
    <w:rsid w:val="001E1BFB"/>
    <w:rsid w:val="001E58E2"/>
    <w:rsid w:val="001E708F"/>
    <w:rsid w:val="001E7AED"/>
    <w:rsid w:val="001F05B2"/>
    <w:rsid w:val="001F1F08"/>
    <w:rsid w:val="001F2689"/>
    <w:rsid w:val="001F3916"/>
    <w:rsid w:val="001F450E"/>
    <w:rsid w:val="001F54C5"/>
    <w:rsid w:val="001F5DBD"/>
    <w:rsid w:val="001F662C"/>
    <w:rsid w:val="001F7074"/>
    <w:rsid w:val="001F7A85"/>
    <w:rsid w:val="00200490"/>
    <w:rsid w:val="00200BE0"/>
    <w:rsid w:val="00201F3A"/>
    <w:rsid w:val="00203226"/>
    <w:rsid w:val="00203F96"/>
    <w:rsid w:val="00205E4F"/>
    <w:rsid w:val="002069B2"/>
    <w:rsid w:val="00207FA3"/>
    <w:rsid w:val="0021200B"/>
    <w:rsid w:val="00214DA8"/>
    <w:rsid w:val="00215423"/>
    <w:rsid w:val="002158FA"/>
    <w:rsid w:val="00220600"/>
    <w:rsid w:val="002224DB"/>
    <w:rsid w:val="00223FCB"/>
    <w:rsid w:val="002252C3"/>
    <w:rsid w:val="00225C54"/>
    <w:rsid w:val="00226AA9"/>
    <w:rsid w:val="00230765"/>
    <w:rsid w:val="002307B5"/>
    <w:rsid w:val="00230D6D"/>
    <w:rsid w:val="00231869"/>
    <w:rsid w:val="002319E4"/>
    <w:rsid w:val="00233651"/>
    <w:rsid w:val="00235632"/>
    <w:rsid w:val="00235872"/>
    <w:rsid w:val="00235FBB"/>
    <w:rsid w:val="002360A5"/>
    <w:rsid w:val="00236BF5"/>
    <w:rsid w:val="00241559"/>
    <w:rsid w:val="00241E63"/>
    <w:rsid w:val="002422F7"/>
    <w:rsid w:val="002435B3"/>
    <w:rsid w:val="00245780"/>
    <w:rsid w:val="002458EB"/>
    <w:rsid w:val="002500C8"/>
    <w:rsid w:val="00250523"/>
    <w:rsid w:val="002518D0"/>
    <w:rsid w:val="002556A1"/>
    <w:rsid w:val="00255BE6"/>
    <w:rsid w:val="00255D91"/>
    <w:rsid w:val="00257543"/>
    <w:rsid w:val="002617E7"/>
    <w:rsid w:val="00263B20"/>
    <w:rsid w:val="00264228"/>
    <w:rsid w:val="00264334"/>
    <w:rsid w:val="0026473E"/>
    <w:rsid w:val="00266214"/>
    <w:rsid w:val="00267C83"/>
    <w:rsid w:val="0027144F"/>
    <w:rsid w:val="00271874"/>
    <w:rsid w:val="00271899"/>
    <w:rsid w:val="00271F3A"/>
    <w:rsid w:val="002724CD"/>
    <w:rsid w:val="00273278"/>
    <w:rsid w:val="002737F4"/>
    <w:rsid w:val="00273CED"/>
    <w:rsid w:val="00274EB1"/>
    <w:rsid w:val="002763C9"/>
    <w:rsid w:val="00276EF5"/>
    <w:rsid w:val="002805F5"/>
    <w:rsid w:val="00280751"/>
    <w:rsid w:val="0028280A"/>
    <w:rsid w:val="002828DA"/>
    <w:rsid w:val="00286425"/>
    <w:rsid w:val="00286ACD"/>
    <w:rsid w:val="00287838"/>
    <w:rsid w:val="00287900"/>
    <w:rsid w:val="00290426"/>
    <w:rsid w:val="002907B5"/>
    <w:rsid w:val="00292DF8"/>
    <w:rsid w:val="00292EB7"/>
    <w:rsid w:val="00295E23"/>
    <w:rsid w:val="00296227"/>
    <w:rsid w:val="002962B1"/>
    <w:rsid w:val="0029692D"/>
    <w:rsid w:val="00296F44"/>
    <w:rsid w:val="0029777D"/>
    <w:rsid w:val="002A055E"/>
    <w:rsid w:val="002A1B4B"/>
    <w:rsid w:val="002A1D4E"/>
    <w:rsid w:val="002A2869"/>
    <w:rsid w:val="002A5CC4"/>
    <w:rsid w:val="002B0D5D"/>
    <w:rsid w:val="002B24D6"/>
    <w:rsid w:val="002B2626"/>
    <w:rsid w:val="002B5314"/>
    <w:rsid w:val="002B623B"/>
    <w:rsid w:val="002C0D21"/>
    <w:rsid w:val="002C0F0F"/>
    <w:rsid w:val="002C1235"/>
    <w:rsid w:val="002C3862"/>
    <w:rsid w:val="002C41E6"/>
    <w:rsid w:val="002C52C8"/>
    <w:rsid w:val="002C556C"/>
    <w:rsid w:val="002C5ACF"/>
    <w:rsid w:val="002C69AA"/>
    <w:rsid w:val="002D071A"/>
    <w:rsid w:val="002D2075"/>
    <w:rsid w:val="002D34B2"/>
    <w:rsid w:val="002D3E97"/>
    <w:rsid w:val="002D52CF"/>
    <w:rsid w:val="002D5437"/>
    <w:rsid w:val="002D5F0F"/>
    <w:rsid w:val="002D7637"/>
    <w:rsid w:val="002E0147"/>
    <w:rsid w:val="002E1748"/>
    <w:rsid w:val="002E17DE"/>
    <w:rsid w:val="002E17F2"/>
    <w:rsid w:val="002E1D64"/>
    <w:rsid w:val="002E243B"/>
    <w:rsid w:val="002E6860"/>
    <w:rsid w:val="002E6C0D"/>
    <w:rsid w:val="002E7CAE"/>
    <w:rsid w:val="002E7E64"/>
    <w:rsid w:val="002F2771"/>
    <w:rsid w:val="002F37A9"/>
    <w:rsid w:val="002F7DA2"/>
    <w:rsid w:val="00301BCF"/>
    <w:rsid w:val="00301CE6"/>
    <w:rsid w:val="0030246E"/>
    <w:rsid w:val="0030256B"/>
    <w:rsid w:val="00302626"/>
    <w:rsid w:val="0030501F"/>
    <w:rsid w:val="003053DE"/>
    <w:rsid w:val="00307BA1"/>
    <w:rsid w:val="00311702"/>
    <w:rsid w:val="00311E82"/>
    <w:rsid w:val="0031271E"/>
    <w:rsid w:val="00313E83"/>
    <w:rsid w:val="00313FD6"/>
    <w:rsid w:val="003140FC"/>
    <w:rsid w:val="003143BD"/>
    <w:rsid w:val="003203ED"/>
    <w:rsid w:val="0032131B"/>
    <w:rsid w:val="00322C9F"/>
    <w:rsid w:val="0032460C"/>
    <w:rsid w:val="00324D23"/>
    <w:rsid w:val="00326EC3"/>
    <w:rsid w:val="00330B5F"/>
    <w:rsid w:val="00331489"/>
    <w:rsid w:val="00331751"/>
    <w:rsid w:val="00334579"/>
    <w:rsid w:val="00335858"/>
    <w:rsid w:val="00336BDA"/>
    <w:rsid w:val="00341E28"/>
    <w:rsid w:val="00342681"/>
    <w:rsid w:val="0034291A"/>
    <w:rsid w:val="00342BD7"/>
    <w:rsid w:val="0034420A"/>
    <w:rsid w:val="00346DB5"/>
    <w:rsid w:val="00346DB6"/>
    <w:rsid w:val="003477B1"/>
    <w:rsid w:val="00355B32"/>
    <w:rsid w:val="00356C79"/>
    <w:rsid w:val="00357380"/>
    <w:rsid w:val="00360071"/>
    <w:rsid w:val="003602D9"/>
    <w:rsid w:val="003604CE"/>
    <w:rsid w:val="00362A17"/>
    <w:rsid w:val="003636B2"/>
    <w:rsid w:val="00364651"/>
    <w:rsid w:val="00365B8A"/>
    <w:rsid w:val="00370E47"/>
    <w:rsid w:val="003730DD"/>
    <w:rsid w:val="00373902"/>
    <w:rsid w:val="003742AC"/>
    <w:rsid w:val="00375476"/>
    <w:rsid w:val="00377117"/>
    <w:rsid w:val="00377CE1"/>
    <w:rsid w:val="0038054F"/>
    <w:rsid w:val="00381B3C"/>
    <w:rsid w:val="00381F5A"/>
    <w:rsid w:val="0038254D"/>
    <w:rsid w:val="00385065"/>
    <w:rsid w:val="00385BF0"/>
    <w:rsid w:val="00385E02"/>
    <w:rsid w:val="00387C88"/>
    <w:rsid w:val="00390400"/>
    <w:rsid w:val="0039066C"/>
    <w:rsid w:val="00390684"/>
    <w:rsid w:val="003939FF"/>
    <w:rsid w:val="00394551"/>
    <w:rsid w:val="00394E96"/>
    <w:rsid w:val="00395801"/>
    <w:rsid w:val="003962AF"/>
    <w:rsid w:val="003977DD"/>
    <w:rsid w:val="00397AF7"/>
    <w:rsid w:val="003A2223"/>
    <w:rsid w:val="003A2983"/>
    <w:rsid w:val="003A2A0F"/>
    <w:rsid w:val="003A45A1"/>
    <w:rsid w:val="003A5186"/>
    <w:rsid w:val="003A5B0A"/>
    <w:rsid w:val="003A63C8"/>
    <w:rsid w:val="003A6BAC"/>
    <w:rsid w:val="003A6F87"/>
    <w:rsid w:val="003A7EF3"/>
    <w:rsid w:val="003A7F3C"/>
    <w:rsid w:val="003B05A5"/>
    <w:rsid w:val="003B0C87"/>
    <w:rsid w:val="003B159C"/>
    <w:rsid w:val="003B2AA0"/>
    <w:rsid w:val="003B369F"/>
    <w:rsid w:val="003B36A3"/>
    <w:rsid w:val="003B4CA0"/>
    <w:rsid w:val="003B6C7F"/>
    <w:rsid w:val="003B7FE5"/>
    <w:rsid w:val="003C11C8"/>
    <w:rsid w:val="003C1B54"/>
    <w:rsid w:val="003C2702"/>
    <w:rsid w:val="003C4985"/>
    <w:rsid w:val="003C4CE3"/>
    <w:rsid w:val="003C672E"/>
    <w:rsid w:val="003C7806"/>
    <w:rsid w:val="003D0396"/>
    <w:rsid w:val="003D109F"/>
    <w:rsid w:val="003D2478"/>
    <w:rsid w:val="003D301E"/>
    <w:rsid w:val="003D3754"/>
    <w:rsid w:val="003D3C45"/>
    <w:rsid w:val="003D5B1F"/>
    <w:rsid w:val="003D5BCD"/>
    <w:rsid w:val="003E0C14"/>
    <w:rsid w:val="003E0F3D"/>
    <w:rsid w:val="003E15FA"/>
    <w:rsid w:val="003E5523"/>
    <w:rsid w:val="003E55E4"/>
    <w:rsid w:val="003E74E3"/>
    <w:rsid w:val="003F05C7"/>
    <w:rsid w:val="003F13DE"/>
    <w:rsid w:val="003F2CD4"/>
    <w:rsid w:val="003F3068"/>
    <w:rsid w:val="003F6BBE"/>
    <w:rsid w:val="004000E8"/>
    <w:rsid w:val="00400A95"/>
    <w:rsid w:val="00402E2B"/>
    <w:rsid w:val="00404507"/>
    <w:rsid w:val="0040512B"/>
    <w:rsid w:val="00405CA5"/>
    <w:rsid w:val="00407AB5"/>
    <w:rsid w:val="00407C4B"/>
    <w:rsid w:val="00407CD3"/>
    <w:rsid w:val="00410134"/>
    <w:rsid w:val="004102BC"/>
    <w:rsid w:val="00410B72"/>
    <w:rsid w:val="00410F18"/>
    <w:rsid w:val="004117A3"/>
    <w:rsid w:val="0041263E"/>
    <w:rsid w:val="00413AAC"/>
    <w:rsid w:val="00416427"/>
    <w:rsid w:val="00421105"/>
    <w:rsid w:val="00422178"/>
    <w:rsid w:val="00422C5A"/>
    <w:rsid w:val="004242F4"/>
    <w:rsid w:val="00424BAB"/>
    <w:rsid w:val="00427248"/>
    <w:rsid w:val="00427637"/>
    <w:rsid w:val="0043200E"/>
    <w:rsid w:val="004328C2"/>
    <w:rsid w:val="00432CFF"/>
    <w:rsid w:val="004358F0"/>
    <w:rsid w:val="00437447"/>
    <w:rsid w:val="00441134"/>
    <w:rsid w:val="00441A92"/>
    <w:rsid w:val="004428EF"/>
    <w:rsid w:val="00444F56"/>
    <w:rsid w:val="0044528E"/>
    <w:rsid w:val="00446488"/>
    <w:rsid w:val="00451122"/>
    <w:rsid w:val="004517AA"/>
    <w:rsid w:val="00452819"/>
    <w:rsid w:val="00452CAC"/>
    <w:rsid w:val="00452E9A"/>
    <w:rsid w:val="00454DAD"/>
    <w:rsid w:val="00457565"/>
    <w:rsid w:val="00457B71"/>
    <w:rsid w:val="00460C67"/>
    <w:rsid w:val="00465F86"/>
    <w:rsid w:val="004669E2"/>
    <w:rsid w:val="00470C31"/>
    <w:rsid w:val="00471ED7"/>
    <w:rsid w:val="004734D0"/>
    <w:rsid w:val="0047475A"/>
    <w:rsid w:val="00474846"/>
    <w:rsid w:val="0047485F"/>
    <w:rsid w:val="0047556B"/>
    <w:rsid w:val="00475D5C"/>
    <w:rsid w:val="004766B4"/>
    <w:rsid w:val="00477768"/>
    <w:rsid w:val="004807EE"/>
    <w:rsid w:val="00482840"/>
    <w:rsid w:val="00483BB6"/>
    <w:rsid w:val="00486ACF"/>
    <w:rsid w:val="00487960"/>
    <w:rsid w:val="00492BC5"/>
    <w:rsid w:val="004961FA"/>
    <w:rsid w:val="004964F1"/>
    <w:rsid w:val="00497F83"/>
    <w:rsid w:val="004A16BC"/>
    <w:rsid w:val="004A2B94"/>
    <w:rsid w:val="004A3021"/>
    <w:rsid w:val="004A351F"/>
    <w:rsid w:val="004A5876"/>
    <w:rsid w:val="004A7D56"/>
    <w:rsid w:val="004B72BA"/>
    <w:rsid w:val="004B7C0C"/>
    <w:rsid w:val="004C379F"/>
    <w:rsid w:val="004C3898"/>
    <w:rsid w:val="004C4763"/>
    <w:rsid w:val="004C7E2C"/>
    <w:rsid w:val="004D10C4"/>
    <w:rsid w:val="004D1E06"/>
    <w:rsid w:val="004D341A"/>
    <w:rsid w:val="004D36B1"/>
    <w:rsid w:val="004D54D4"/>
    <w:rsid w:val="004D6C12"/>
    <w:rsid w:val="004D7EBD"/>
    <w:rsid w:val="004E1AF8"/>
    <w:rsid w:val="004E2680"/>
    <w:rsid w:val="004E28F9"/>
    <w:rsid w:val="004E3911"/>
    <w:rsid w:val="004E3E87"/>
    <w:rsid w:val="004E462E"/>
    <w:rsid w:val="004E53C0"/>
    <w:rsid w:val="004E56DC"/>
    <w:rsid w:val="004E76F4"/>
    <w:rsid w:val="004F0979"/>
    <w:rsid w:val="004F0B4E"/>
    <w:rsid w:val="004F0B6C"/>
    <w:rsid w:val="004F0E13"/>
    <w:rsid w:val="004F0F89"/>
    <w:rsid w:val="004F14EE"/>
    <w:rsid w:val="004F1B01"/>
    <w:rsid w:val="004F2078"/>
    <w:rsid w:val="004F4DA3"/>
    <w:rsid w:val="004F6787"/>
    <w:rsid w:val="004F68E8"/>
    <w:rsid w:val="004F6FE0"/>
    <w:rsid w:val="00504B48"/>
    <w:rsid w:val="00506557"/>
    <w:rsid w:val="0050677A"/>
    <w:rsid w:val="00506BBB"/>
    <w:rsid w:val="005108D8"/>
    <w:rsid w:val="00510F41"/>
    <w:rsid w:val="005116F9"/>
    <w:rsid w:val="00512EAA"/>
    <w:rsid w:val="005153A7"/>
    <w:rsid w:val="00517AD0"/>
    <w:rsid w:val="00520159"/>
    <w:rsid w:val="00520B35"/>
    <w:rsid w:val="00520D36"/>
    <w:rsid w:val="005219CF"/>
    <w:rsid w:val="00524697"/>
    <w:rsid w:val="00527027"/>
    <w:rsid w:val="00530FD1"/>
    <w:rsid w:val="00531FAF"/>
    <w:rsid w:val="00532CBD"/>
    <w:rsid w:val="00534B59"/>
    <w:rsid w:val="00536759"/>
    <w:rsid w:val="00537B4E"/>
    <w:rsid w:val="00537C62"/>
    <w:rsid w:val="005402D6"/>
    <w:rsid w:val="005458D3"/>
    <w:rsid w:val="00546970"/>
    <w:rsid w:val="00547D9C"/>
    <w:rsid w:val="0055231F"/>
    <w:rsid w:val="00552857"/>
    <w:rsid w:val="005547DD"/>
    <w:rsid w:val="00554E19"/>
    <w:rsid w:val="00557A2C"/>
    <w:rsid w:val="0056121F"/>
    <w:rsid w:val="005616EF"/>
    <w:rsid w:val="00564B7E"/>
    <w:rsid w:val="00565488"/>
    <w:rsid w:val="00566537"/>
    <w:rsid w:val="00566A7D"/>
    <w:rsid w:val="0057064B"/>
    <w:rsid w:val="00570A55"/>
    <w:rsid w:val="005710C1"/>
    <w:rsid w:val="00572505"/>
    <w:rsid w:val="0057260D"/>
    <w:rsid w:val="005743A5"/>
    <w:rsid w:val="00582809"/>
    <w:rsid w:val="00584948"/>
    <w:rsid w:val="00586499"/>
    <w:rsid w:val="00586EEB"/>
    <w:rsid w:val="0058798C"/>
    <w:rsid w:val="00587FA9"/>
    <w:rsid w:val="005900FA"/>
    <w:rsid w:val="005935A4"/>
    <w:rsid w:val="00593BBF"/>
    <w:rsid w:val="005948C2"/>
    <w:rsid w:val="00595DCA"/>
    <w:rsid w:val="0059779B"/>
    <w:rsid w:val="005A1ED4"/>
    <w:rsid w:val="005A209A"/>
    <w:rsid w:val="005A288A"/>
    <w:rsid w:val="005A662D"/>
    <w:rsid w:val="005A68BA"/>
    <w:rsid w:val="005B04A1"/>
    <w:rsid w:val="005B1CDF"/>
    <w:rsid w:val="005B2328"/>
    <w:rsid w:val="005B35D7"/>
    <w:rsid w:val="005B392A"/>
    <w:rsid w:val="005B3AA3"/>
    <w:rsid w:val="005B45B5"/>
    <w:rsid w:val="005B63B5"/>
    <w:rsid w:val="005B64F8"/>
    <w:rsid w:val="005B6F83"/>
    <w:rsid w:val="005B7576"/>
    <w:rsid w:val="005C1729"/>
    <w:rsid w:val="005C45E3"/>
    <w:rsid w:val="005C74FB"/>
    <w:rsid w:val="005D1602"/>
    <w:rsid w:val="005D2CE7"/>
    <w:rsid w:val="005D31E9"/>
    <w:rsid w:val="005D3406"/>
    <w:rsid w:val="005D6216"/>
    <w:rsid w:val="005D6F32"/>
    <w:rsid w:val="005E1503"/>
    <w:rsid w:val="005E360A"/>
    <w:rsid w:val="005E385F"/>
    <w:rsid w:val="005E3CCA"/>
    <w:rsid w:val="005E3EAF"/>
    <w:rsid w:val="005E4757"/>
    <w:rsid w:val="005E53EE"/>
    <w:rsid w:val="005E5834"/>
    <w:rsid w:val="005E5B81"/>
    <w:rsid w:val="005E673D"/>
    <w:rsid w:val="005F2CB1"/>
    <w:rsid w:val="005F3025"/>
    <w:rsid w:val="005F52C3"/>
    <w:rsid w:val="005F53F2"/>
    <w:rsid w:val="005F618C"/>
    <w:rsid w:val="005F70BD"/>
    <w:rsid w:val="00600F6A"/>
    <w:rsid w:val="006010AD"/>
    <w:rsid w:val="0060283C"/>
    <w:rsid w:val="00602907"/>
    <w:rsid w:val="00603050"/>
    <w:rsid w:val="00604F14"/>
    <w:rsid w:val="00605BE1"/>
    <w:rsid w:val="00605F9F"/>
    <w:rsid w:val="00607337"/>
    <w:rsid w:val="006119E8"/>
    <w:rsid w:val="00611B83"/>
    <w:rsid w:val="00613257"/>
    <w:rsid w:val="00614409"/>
    <w:rsid w:val="00615440"/>
    <w:rsid w:val="006157F0"/>
    <w:rsid w:val="00615B9D"/>
    <w:rsid w:val="0061697C"/>
    <w:rsid w:val="0061724D"/>
    <w:rsid w:val="00620A71"/>
    <w:rsid w:val="00620D80"/>
    <w:rsid w:val="006234A6"/>
    <w:rsid w:val="00623923"/>
    <w:rsid w:val="00625808"/>
    <w:rsid w:val="00630001"/>
    <w:rsid w:val="006311B3"/>
    <w:rsid w:val="00631F81"/>
    <w:rsid w:val="0063284C"/>
    <w:rsid w:val="00633C32"/>
    <w:rsid w:val="006360B8"/>
    <w:rsid w:val="00636398"/>
    <w:rsid w:val="006368D3"/>
    <w:rsid w:val="006368D6"/>
    <w:rsid w:val="00637518"/>
    <w:rsid w:val="006377EC"/>
    <w:rsid w:val="00637EFB"/>
    <w:rsid w:val="0064151F"/>
    <w:rsid w:val="00641533"/>
    <w:rsid w:val="00641D36"/>
    <w:rsid w:val="0064208D"/>
    <w:rsid w:val="00642EF2"/>
    <w:rsid w:val="00643475"/>
    <w:rsid w:val="0064396A"/>
    <w:rsid w:val="006439EF"/>
    <w:rsid w:val="00644194"/>
    <w:rsid w:val="00644F5F"/>
    <w:rsid w:val="00645491"/>
    <w:rsid w:val="0064592E"/>
    <w:rsid w:val="00646058"/>
    <w:rsid w:val="0064624E"/>
    <w:rsid w:val="006464C2"/>
    <w:rsid w:val="00647EE2"/>
    <w:rsid w:val="00650AB9"/>
    <w:rsid w:val="0065154C"/>
    <w:rsid w:val="006526EE"/>
    <w:rsid w:val="00654461"/>
    <w:rsid w:val="00655394"/>
    <w:rsid w:val="00655733"/>
    <w:rsid w:val="00655ACD"/>
    <w:rsid w:val="00655BB8"/>
    <w:rsid w:val="00656A92"/>
    <w:rsid w:val="00656DDE"/>
    <w:rsid w:val="00656EB3"/>
    <w:rsid w:val="0066011D"/>
    <w:rsid w:val="006607C0"/>
    <w:rsid w:val="006613A6"/>
    <w:rsid w:val="006627A2"/>
    <w:rsid w:val="0066290B"/>
    <w:rsid w:val="006634E6"/>
    <w:rsid w:val="0066461E"/>
    <w:rsid w:val="006655EE"/>
    <w:rsid w:val="00666EF0"/>
    <w:rsid w:val="00667122"/>
    <w:rsid w:val="00667EE7"/>
    <w:rsid w:val="00670922"/>
    <w:rsid w:val="00670BE1"/>
    <w:rsid w:val="0067218F"/>
    <w:rsid w:val="006741F2"/>
    <w:rsid w:val="00674CC3"/>
    <w:rsid w:val="0067562F"/>
    <w:rsid w:val="00675C72"/>
    <w:rsid w:val="006765A2"/>
    <w:rsid w:val="006771F9"/>
    <w:rsid w:val="00677351"/>
    <w:rsid w:val="006776D7"/>
    <w:rsid w:val="00681003"/>
    <w:rsid w:val="006817C9"/>
    <w:rsid w:val="00683ECE"/>
    <w:rsid w:val="00686480"/>
    <w:rsid w:val="00686F7A"/>
    <w:rsid w:val="006873CF"/>
    <w:rsid w:val="00694162"/>
    <w:rsid w:val="006948A8"/>
    <w:rsid w:val="00695FAE"/>
    <w:rsid w:val="00695FC2"/>
    <w:rsid w:val="006967F7"/>
    <w:rsid w:val="00696949"/>
    <w:rsid w:val="00697052"/>
    <w:rsid w:val="006979A5"/>
    <w:rsid w:val="006A0DAF"/>
    <w:rsid w:val="006A1462"/>
    <w:rsid w:val="006A46FB"/>
    <w:rsid w:val="006A5E28"/>
    <w:rsid w:val="006A697B"/>
    <w:rsid w:val="006A7AFF"/>
    <w:rsid w:val="006B0BB5"/>
    <w:rsid w:val="006B11EC"/>
    <w:rsid w:val="006B1204"/>
    <w:rsid w:val="006B1816"/>
    <w:rsid w:val="006B2099"/>
    <w:rsid w:val="006B4D66"/>
    <w:rsid w:val="006B50CF"/>
    <w:rsid w:val="006C03B8"/>
    <w:rsid w:val="006C125B"/>
    <w:rsid w:val="006C14EE"/>
    <w:rsid w:val="006C3CC0"/>
    <w:rsid w:val="006C5DBA"/>
    <w:rsid w:val="006C5EC9"/>
    <w:rsid w:val="006C6059"/>
    <w:rsid w:val="006C6061"/>
    <w:rsid w:val="006C728F"/>
    <w:rsid w:val="006C7522"/>
    <w:rsid w:val="006D1662"/>
    <w:rsid w:val="006D1BB3"/>
    <w:rsid w:val="006D43DA"/>
    <w:rsid w:val="006D5B70"/>
    <w:rsid w:val="006D5D33"/>
    <w:rsid w:val="006D5F1C"/>
    <w:rsid w:val="006D6B12"/>
    <w:rsid w:val="006D6F08"/>
    <w:rsid w:val="006D7D39"/>
    <w:rsid w:val="006E062C"/>
    <w:rsid w:val="006E24EE"/>
    <w:rsid w:val="006E28B7"/>
    <w:rsid w:val="006E2AD3"/>
    <w:rsid w:val="006E3310"/>
    <w:rsid w:val="006E4AAA"/>
    <w:rsid w:val="006E4E39"/>
    <w:rsid w:val="006E565E"/>
    <w:rsid w:val="006E64AA"/>
    <w:rsid w:val="006E673D"/>
    <w:rsid w:val="006E7D3B"/>
    <w:rsid w:val="006F079E"/>
    <w:rsid w:val="006F08F0"/>
    <w:rsid w:val="006F0F8A"/>
    <w:rsid w:val="006F1B70"/>
    <w:rsid w:val="006F341D"/>
    <w:rsid w:val="006F3CDE"/>
    <w:rsid w:val="006F58D4"/>
    <w:rsid w:val="006F7DE7"/>
    <w:rsid w:val="007006BE"/>
    <w:rsid w:val="00700EEE"/>
    <w:rsid w:val="0070346E"/>
    <w:rsid w:val="00704EDB"/>
    <w:rsid w:val="00704FB5"/>
    <w:rsid w:val="00706101"/>
    <w:rsid w:val="00706393"/>
    <w:rsid w:val="00707072"/>
    <w:rsid w:val="00707D61"/>
    <w:rsid w:val="00712287"/>
    <w:rsid w:val="00712581"/>
    <w:rsid w:val="00712772"/>
    <w:rsid w:val="007148D3"/>
    <w:rsid w:val="00715B9A"/>
    <w:rsid w:val="007163AE"/>
    <w:rsid w:val="00717268"/>
    <w:rsid w:val="00717B7C"/>
    <w:rsid w:val="00720611"/>
    <w:rsid w:val="00720B7B"/>
    <w:rsid w:val="00722423"/>
    <w:rsid w:val="00722793"/>
    <w:rsid w:val="007233C9"/>
    <w:rsid w:val="00726EA6"/>
    <w:rsid w:val="00727208"/>
    <w:rsid w:val="00727680"/>
    <w:rsid w:val="00727CA8"/>
    <w:rsid w:val="007325A6"/>
    <w:rsid w:val="00732BA4"/>
    <w:rsid w:val="007348B1"/>
    <w:rsid w:val="00735268"/>
    <w:rsid w:val="00735AF5"/>
    <w:rsid w:val="007362A6"/>
    <w:rsid w:val="00736D7D"/>
    <w:rsid w:val="007376C6"/>
    <w:rsid w:val="00740E58"/>
    <w:rsid w:val="00741264"/>
    <w:rsid w:val="0074428B"/>
    <w:rsid w:val="007445A0"/>
    <w:rsid w:val="0074524B"/>
    <w:rsid w:val="00746D35"/>
    <w:rsid w:val="007477C9"/>
    <w:rsid w:val="00747D8B"/>
    <w:rsid w:val="007508A2"/>
    <w:rsid w:val="00751031"/>
    <w:rsid w:val="00751228"/>
    <w:rsid w:val="00751987"/>
    <w:rsid w:val="00754CF2"/>
    <w:rsid w:val="007566FD"/>
    <w:rsid w:val="007571E1"/>
    <w:rsid w:val="007600BF"/>
    <w:rsid w:val="007604B2"/>
    <w:rsid w:val="00762D50"/>
    <w:rsid w:val="00765281"/>
    <w:rsid w:val="00766BAD"/>
    <w:rsid w:val="0076708C"/>
    <w:rsid w:val="007743E7"/>
    <w:rsid w:val="00774597"/>
    <w:rsid w:val="007746F2"/>
    <w:rsid w:val="0077488B"/>
    <w:rsid w:val="007752EB"/>
    <w:rsid w:val="007755F2"/>
    <w:rsid w:val="00776971"/>
    <w:rsid w:val="0078177E"/>
    <w:rsid w:val="007823EE"/>
    <w:rsid w:val="00782E81"/>
    <w:rsid w:val="0078304C"/>
    <w:rsid w:val="00783673"/>
    <w:rsid w:val="00784E9B"/>
    <w:rsid w:val="00785490"/>
    <w:rsid w:val="00786719"/>
    <w:rsid w:val="007925EA"/>
    <w:rsid w:val="0079296C"/>
    <w:rsid w:val="0079326A"/>
    <w:rsid w:val="00793CD8"/>
    <w:rsid w:val="00795C92"/>
    <w:rsid w:val="00796231"/>
    <w:rsid w:val="007966F9"/>
    <w:rsid w:val="007A1CB3"/>
    <w:rsid w:val="007A306F"/>
    <w:rsid w:val="007A43A6"/>
    <w:rsid w:val="007A504B"/>
    <w:rsid w:val="007A58A6"/>
    <w:rsid w:val="007B0147"/>
    <w:rsid w:val="007B1B55"/>
    <w:rsid w:val="007B3D2D"/>
    <w:rsid w:val="007B4EA0"/>
    <w:rsid w:val="007B50AE"/>
    <w:rsid w:val="007B51DF"/>
    <w:rsid w:val="007B700E"/>
    <w:rsid w:val="007C05DD"/>
    <w:rsid w:val="007C1C5E"/>
    <w:rsid w:val="007C1DDE"/>
    <w:rsid w:val="007C1DE0"/>
    <w:rsid w:val="007C3D18"/>
    <w:rsid w:val="007C60BF"/>
    <w:rsid w:val="007C6A07"/>
    <w:rsid w:val="007C75A1"/>
    <w:rsid w:val="007C77A5"/>
    <w:rsid w:val="007D04E5"/>
    <w:rsid w:val="007D524D"/>
    <w:rsid w:val="007D5901"/>
    <w:rsid w:val="007D7526"/>
    <w:rsid w:val="007E19A8"/>
    <w:rsid w:val="007E1DEB"/>
    <w:rsid w:val="007E298A"/>
    <w:rsid w:val="007E4610"/>
    <w:rsid w:val="007E4715"/>
    <w:rsid w:val="007E505B"/>
    <w:rsid w:val="007E7091"/>
    <w:rsid w:val="007E784D"/>
    <w:rsid w:val="007F0F17"/>
    <w:rsid w:val="007F60D8"/>
    <w:rsid w:val="007F6B2C"/>
    <w:rsid w:val="008020C6"/>
    <w:rsid w:val="008024B8"/>
    <w:rsid w:val="008036DB"/>
    <w:rsid w:val="00803FAE"/>
    <w:rsid w:val="0080605F"/>
    <w:rsid w:val="00806225"/>
    <w:rsid w:val="008066E2"/>
    <w:rsid w:val="00807786"/>
    <w:rsid w:val="00807B37"/>
    <w:rsid w:val="0081091E"/>
    <w:rsid w:val="0081144B"/>
    <w:rsid w:val="00811FCB"/>
    <w:rsid w:val="008158D6"/>
    <w:rsid w:val="00816048"/>
    <w:rsid w:val="00817196"/>
    <w:rsid w:val="00817C32"/>
    <w:rsid w:val="00820A46"/>
    <w:rsid w:val="0082332B"/>
    <w:rsid w:val="008235DB"/>
    <w:rsid w:val="00823BC9"/>
    <w:rsid w:val="00823C7F"/>
    <w:rsid w:val="0082478A"/>
    <w:rsid w:val="00824AB4"/>
    <w:rsid w:val="00825C42"/>
    <w:rsid w:val="00825D25"/>
    <w:rsid w:val="00826ADA"/>
    <w:rsid w:val="00826C8B"/>
    <w:rsid w:val="00827D6F"/>
    <w:rsid w:val="00830DC2"/>
    <w:rsid w:val="008348CD"/>
    <w:rsid w:val="00834F8F"/>
    <w:rsid w:val="0083700D"/>
    <w:rsid w:val="008376AC"/>
    <w:rsid w:val="00840A40"/>
    <w:rsid w:val="008414AE"/>
    <w:rsid w:val="00844269"/>
    <w:rsid w:val="008444E8"/>
    <w:rsid w:val="0084473E"/>
    <w:rsid w:val="00844E80"/>
    <w:rsid w:val="00846FE7"/>
    <w:rsid w:val="00856911"/>
    <w:rsid w:val="00857C85"/>
    <w:rsid w:val="0086614F"/>
    <w:rsid w:val="008677FD"/>
    <w:rsid w:val="008706D4"/>
    <w:rsid w:val="00870F8A"/>
    <w:rsid w:val="00871707"/>
    <w:rsid w:val="0087175C"/>
    <w:rsid w:val="008719A4"/>
    <w:rsid w:val="00871D23"/>
    <w:rsid w:val="00873127"/>
    <w:rsid w:val="00873177"/>
    <w:rsid w:val="00874312"/>
    <w:rsid w:val="0087437C"/>
    <w:rsid w:val="0087450C"/>
    <w:rsid w:val="00875119"/>
    <w:rsid w:val="00875CD7"/>
    <w:rsid w:val="00876B4D"/>
    <w:rsid w:val="0087751C"/>
    <w:rsid w:val="00877F18"/>
    <w:rsid w:val="008804A8"/>
    <w:rsid w:val="008820BA"/>
    <w:rsid w:val="00882CA5"/>
    <w:rsid w:val="008842F2"/>
    <w:rsid w:val="00884BB3"/>
    <w:rsid w:val="008949BC"/>
    <w:rsid w:val="00894A88"/>
    <w:rsid w:val="00895386"/>
    <w:rsid w:val="00896419"/>
    <w:rsid w:val="00896A00"/>
    <w:rsid w:val="00896D74"/>
    <w:rsid w:val="008A0759"/>
    <w:rsid w:val="008A20FF"/>
    <w:rsid w:val="008A21FF"/>
    <w:rsid w:val="008A2CE2"/>
    <w:rsid w:val="008A30AC"/>
    <w:rsid w:val="008A44B8"/>
    <w:rsid w:val="008A51A8"/>
    <w:rsid w:val="008A54C7"/>
    <w:rsid w:val="008A54E0"/>
    <w:rsid w:val="008A77D8"/>
    <w:rsid w:val="008A7BCE"/>
    <w:rsid w:val="008B0483"/>
    <w:rsid w:val="008B120C"/>
    <w:rsid w:val="008B51A0"/>
    <w:rsid w:val="008B592A"/>
    <w:rsid w:val="008B69B8"/>
    <w:rsid w:val="008B7B5C"/>
    <w:rsid w:val="008B7C68"/>
    <w:rsid w:val="008C0C99"/>
    <w:rsid w:val="008C2017"/>
    <w:rsid w:val="008C3368"/>
    <w:rsid w:val="008C3548"/>
    <w:rsid w:val="008C4958"/>
    <w:rsid w:val="008C4BAA"/>
    <w:rsid w:val="008C6AE8"/>
    <w:rsid w:val="008C7573"/>
    <w:rsid w:val="008D34F1"/>
    <w:rsid w:val="008D39D8"/>
    <w:rsid w:val="008D6D1A"/>
    <w:rsid w:val="008D6FC4"/>
    <w:rsid w:val="008D74B4"/>
    <w:rsid w:val="008E065E"/>
    <w:rsid w:val="008E0927"/>
    <w:rsid w:val="008E153D"/>
    <w:rsid w:val="008E1909"/>
    <w:rsid w:val="008E2C99"/>
    <w:rsid w:val="008E3FAE"/>
    <w:rsid w:val="008E7B12"/>
    <w:rsid w:val="008E7EFB"/>
    <w:rsid w:val="008F1EAB"/>
    <w:rsid w:val="008F201C"/>
    <w:rsid w:val="008F33DC"/>
    <w:rsid w:val="008F477F"/>
    <w:rsid w:val="008F523A"/>
    <w:rsid w:val="008F58A4"/>
    <w:rsid w:val="008F5CCA"/>
    <w:rsid w:val="00900ECF"/>
    <w:rsid w:val="00902350"/>
    <w:rsid w:val="00902D03"/>
    <w:rsid w:val="0090336B"/>
    <w:rsid w:val="009046CF"/>
    <w:rsid w:val="009053AA"/>
    <w:rsid w:val="0090544E"/>
    <w:rsid w:val="00906939"/>
    <w:rsid w:val="00910B7D"/>
    <w:rsid w:val="00911DFB"/>
    <w:rsid w:val="009139D9"/>
    <w:rsid w:val="00913E71"/>
    <w:rsid w:val="00913F8F"/>
    <w:rsid w:val="00914AD8"/>
    <w:rsid w:val="009158A3"/>
    <w:rsid w:val="00916046"/>
    <w:rsid w:val="00916079"/>
    <w:rsid w:val="00916497"/>
    <w:rsid w:val="009167F1"/>
    <w:rsid w:val="00917CE9"/>
    <w:rsid w:val="00920BF2"/>
    <w:rsid w:val="00921421"/>
    <w:rsid w:val="00922010"/>
    <w:rsid w:val="00923C5A"/>
    <w:rsid w:val="00923CB7"/>
    <w:rsid w:val="00924516"/>
    <w:rsid w:val="00927915"/>
    <w:rsid w:val="00931363"/>
    <w:rsid w:val="00931BD9"/>
    <w:rsid w:val="009348E9"/>
    <w:rsid w:val="0093523B"/>
    <w:rsid w:val="00935485"/>
    <w:rsid w:val="009368F3"/>
    <w:rsid w:val="00940097"/>
    <w:rsid w:val="009414BC"/>
    <w:rsid w:val="00941636"/>
    <w:rsid w:val="00943742"/>
    <w:rsid w:val="00945C05"/>
    <w:rsid w:val="00946945"/>
    <w:rsid w:val="00947713"/>
    <w:rsid w:val="00947BF4"/>
    <w:rsid w:val="00950DE7"/>
    <w:rsid w:val="00950F60"/>
    <w:rsid w:val="00951AF2"/>
    <w:rsid w:val="00952E30"/>
    <w:rsid w:val="00953920"/>
    <w:rsid w:val="00953D47"/>
    <w:rsid w:val="00955FE8"/>
    <w:rsid w:val="0095681E"/>
    <w:rsid w:val="009572D4"/>
    <w:rsid w:val="00957B18"/>
    <w:rsid w:val="00961890"/>
    <w:rsid w:val="00961921"/>
    <w:rsid w:val="00962B73"/>
    <w:rsid w:val="0096355C"/>
    <w:rsid w:val="0096430A"/>
    <w:rsid w:val="0096554B"/>
    <w:rsid w:val="0096584A"/>
    <w:rsid w:val="009675AA"/>
    <w:rsid w:val="00971F08"/>
    <w:rsid w:val="0097256B"/>
    <w:rsid w:val="00975D73"/>
    <w:rsid w:val="0097603D"/>
    <w:rsid w:val="00976617"/>
    <w:rsid w:val="009768F5"/>
    <w:rsid w:val="00976949"/>
    <w:rsid w:val="00980477"/>
    <w:rsid w:val="00983BC4"/>
    <w:rsid w:val="00985253"/>
    <w:rsid w:val="009853B3"/>
    <w:rsid w:val="009861CA"/>
    <w:rsid w:val="00990630"/>
    <w:rsid w:val="0099153D"/>
    <w:rsid w:val="00991761"/>
    <w:rsid w:val="009925A4"/>
    <w:rsid w:val="009940CF"/>
    <w:rsid w:val="00994DCA"/>
    <w:rsid w:val="009960EC"/>
    <w:rsid w:val="009970DD"/>
    <w:rsid w:val="009976D3"/>
    <w:rsid w:val="009A04FA"/>
    <w:rsid w:val="009A0FBA"/>
    <w:rsid w:val="009A1601"/>
    <w:rsid w:val="009A2779"/>
    <w:rsid w:val="009A2BD6"/>
    <w:rsid w:val="009A462D"/>
    <w:rsid w:val="009A5CBA"/>
    <w:rsid w:val="009A7879"/>
    <w:rsid w:val="009A7E76"/>
    <w:rsid w:val="009B1F30"/>
    <w:rsid w:val="009B3AC2"/>
    <w:rsid w:val="009B4C70"/>
    <w:rsid w:val="009B4DF4"/>
    <w:rsid w:val="009B4F67"/>
    <w:rsid w:val="009B564E"/>
    <w:rsid w:val="009B5B99"/>
    <w:rsid w:val="009B7E87"/>
    <w:rsid w:val="009C28E1"/>
    <w:rsid w:val="009C403E"/>
    <w:rsid w:val="009C456E"/>
    <w:rsid w:val="009C6B78"/>
    <w:rsid w:val="009C7133"/>
    <w:rsid w:val="009D28AD"/>
    <w:rsid w:val="009D38B6"/>
    <w:rsid w:val="009D4FF0"/>
    <w:rsid w:val="009D58AB"/>
    <w:rsid w:val="009D5E5B"/>
    <w:rsid w:val="009D703C"/>
    <w:rsid w:val="009D718F"/>
    <w:rsid w:val="009E003C"/>
    <w:rsid w:val="009E068F"/>
    <w:rsid w:val="009E14E0"/>
    <w:rsid w:val="009E2225"/>
    <w:rsid w:val="009E23A5"/>
    <w:rsid w:val="009E35DB"/>
    <w:rsid w:val="009E3C4E"/>
    <w:rsid w:val="009E47A3"/>
    <w:rsid w:val="009E47BD"/>
    <w:rsid w:val="009E567A"/>
    <w:rsid w:val="009E7802"/>
    <w:rsid w:val="009E79AE"/>
    <w:rsid w:val="009F08F3"/>
    <w:rsid w:val="009F344F"/>
    <w:rsid w:val="009F40E2"/>
    <w:rsid w:val="009F7EC6"/>
    <w:rsid w:val="00A03892"/>
    <w:rsid w:val="00A04200"/>
    <w:rsid w:val="00A048A8"/>
    <w:rsid w:val="00A04F49"/>
    <w:rsid w:val="00A0684B"/>
    <w:rsid w:val="00A07372"/>
    <w:rsid w:val="00A07A3D"/>
    <w:rsid w:val="00A13E54"/>
    <w:rsid w:val="00A14603"/>
    <w:rsid w:val="00A17F63"/>
    <w:rsid w:val="00A20B9F"/>
    <w:rsid w:val="00A21852"/>
    <w:rsid w:val="00A2193B"/>
    <w:rsid w:val="00A233EB"/>
    <w:rsid w:val="00A2351A"/>
    <w:rsid w:val="00A23A3B"/>
    <w:rsid w:val="00A23B1D"/>
    <w:rsid w:val="00A255D5"/>
    <w:rsid w:val="00A264A9"/>
    <w:rsid w:val="00A27785"/>
    <w:rsid w:val="00A30187"/>
    <w:rsid w:val="00A31C10"/>
    <w:rsid w:val="00A32298"/>
    <w:rsid w:val="00A33A44"/>
    <w:rsid w:val="00A3448A"/>
    <w:rsid w:val="00A34AFB"/>
    <w:rsid w:val="00A36297"/>
    <w:rsid w:val="00A3793A"/>
    <w:rsid w:val="00A41D1F"/>
    <w:rsid w:val="00A41E2B"/>
    <w:rsid w:val="00A4230C"/>
    <w:rsid w:val="00A4315B"/>
    <w:rsid w:val="00A45B74"/>
    <w:rsid w:val="00A46EF6"/>
    <w:rsid w:val="00A506F6"/>
    <w:rsid w:val="00A52B62"/>
    <w:rsid w:val="00A52E1D"/>
    <w:rsid w:val="00A578C5"/>
    <w:rsid w:val="00A57A1E"/>
    <w:rsid w:val="00A60369"/>
    <w:rsid w:val="00A61499"/>
    <w:rsid w:val="00A61B1C"/>
    <w:rsid w:val="00A62A77"/>
    <w:rsid w:val="00A63483"/>
    <w:rsid w:val="00A6469E"/>
    <w:rsid w:val="00A65024"/>
    <w:rsid w:val="00A657D7"/>
    <w:rsid w:val="00A660AC"/>
    <w:rsid w:val="00A67E6C"/>
    <w:rsid w:val="00A70288"/>
    <w:rsid w:val="00A7147C"/>
    <w:rsid w:val="00A71B99"/>
    <w:rsid w:val="00A73355"/>
    <w:rsid w:val="00A739D0"/>
    <w:rsid w:val="00A761D4"/>
    <w:rsid w:val="00A77EC4"/>
    <w:rsid w:val="00A80760"/>
    <w:rsid w:val="00A82D5E"/>
    <w:rsid w:val="00A842FB"/>
    <w:rsid w:val="00A871DB"/>
    <w:rsid w:val="00A87699"/>
    <w:rsid w:val="00A87D23"/>
    <w:rsid w:val="00A90128"/>
    <w:rsid w:val="00A90FE6"/>
    <w:rsid w:val="00A917E8"/>
    <w:rsid w:val="00A92879"/>
    <w:rsid w:val="00A937F3"/>
    <w:rsid w:val="00A9442A"/>
    <w:rsid w:val="00A958A8"/>
    <w:rsid w:val="00AA016F"/>
    <w:rsid w:val="00AA1733"/>
    <w:rsid w:val="00AA1ED6"/>
    <w:rsid w:val="00AA4F83"/>
    <w:rsid w:val="00AA51D6"/>
    <w:rsid w:val="00AA5204"/>
    <w:rsid w:val="00AA74A6"/>
    <w:rsid w:val="00AA7770"/>
    <w:rsid w:val="00AA7BBE"/>
    <w:rsid w:val="00AB0745"/>
    <w:rsid w:val="00AB0BC8"/>
    <w:rsid w:val="00AB11CA"/>
    <w:rsid w:val="00AB14D9"/>
    <w:rsid w:val="00AB2E29"/>
    <w:rsid w:val="00AB4AB8"/>
    <w:rsid w:val="00AB4BF6"/>
    <w:rsid w:val="00AB655E"/>
    <w:rsid w:val="00AB7A70"/>
    <w:rsid w:val="00AB7DD1"/>
    <w:rsid w:val="00AC007F"/>
    <w:rsid w:val="00AC2ECD"/>
    <w:rsid w:val="00AC3119"/>
    <w:rsid w:val="00AC49FB"/>
    <w:rsid w:val="00AC510E"/>
    <w:rsid w:val="00AC54D0"/>
    <w:rsid w:val="00AC5A10"/>
    <w:rsid w:val="00AD0401"/>
    <w:rsid w:val="00AD0AA3"/>
    <w:rsid w:val="00AD1D0F"/>
    <w:rsid w:val="00AD3F94"/>
    <w:rsid w:val="00AD413A"/>
    <w:rsid w:val="00AD4A5A"/>
    <w:rsid w:val="00AD69D8"/>
    <w:rsid w:val="00AE0350"/>
    <w:rsid w:val="00AE181A"/>
    <w:rsid w:val="00AE27AC"/>
    <w:rsid w:val="00AE40E0"/>
    <w:rsid w:val="00AE4DBA"/>
    <w:rsid w:val="00AE4E8D"/>
    <w:rsid w:val="00AE4F07"/>
    <w:rsid w:val="00AE5CC0"/>
    <w:rsid w:val="00AE6033"/>
    <w:rsid w:val="00AE795A"/>
    <w:rsid w:val="00AE7C50"/>
    <w:rsid w:val="00AF1C5D"/>
    <w:rsid w:val="00AF1C8E"/>
    <w:rsid w:val="00AF2D7B"/>
    <w:rsid w:val="00AF42D7"/>
    <w:rsid w:val="00AF4EA5"/>
    <w:rsid w:val="00AF6823"/>
    <w:rsid w:val="00AF70B2"/>
    <w:rsid w:val="00B00164"/>
    <w:rsid w:val="00B006FE"/>
    <w:rsid w:val="00B007CB"/>
    <w:rsid w:val="00B02AA9"/>
    <w:rsid w:val="00B02C33"/>
    <w:rsid w:val="00B02FA3"/>
    <w:rsid w:val="00B034A3"/>
    <w:rsid w:val="00B04B2F"/>
    <w:rsid w:val="00B04DB1"/>
    <w:rsid w:val="00B05084"/>
    <w:rsid w:val="00B052B3"/>
    <w:rsid w:val="00B14820"/>
    <w:rsid w:val="00B152C0"/>
    <w:rsid w:val="00B157F9"/>
    <w:rsid w:val="00B15A2C"/>
    <w:rsid w:val="00B16AFE"/>
    <w:rsid w:val="00B16D1C"/>
    <w:rsid w:val="00B1716C"/>
    <w:rsid w:val="00B17E63"/>
    <w:rsid w:val="00B20256"/>
    <w:rsid w:val="00B20D09"/>
    <w:rsid w:val="00B222B8"/>
    <w:rsid w:val="00B241B6"/>
    <w:rsid w:val="00B242D1"/>
    <w:rsid w:val="00B27135"/>
    <w:rsid w:val="00B2763F"/>
    <w:rsid w:val="00B27AAC"/>
    <w:rsid w:val="00B30929"/>
    <w:rsid w:val="00B344C8"/>
    <w:rsid w:val="00B34E8B"/>
    <w:rsid w:val="00B35F8B"/>
    <w:rsid w:val="00B362FC"/>
    <w:rsid w:val="00B372AA"/>
    <w:rsid w:val="00B40445"/>
    <w:rsid w:val="00B41888"/>
    <w:rsid w:val="00B4285C"/>
    <w:rsid w:val="00B42C88"/>
    <w:rsid w:val="00B436F4"/>
    <w:rsid w:val="00B43F98"/>
    <w:rsid w:val="00B45A52"/>
    <w:rsid w:val="00B46175"/>
    <w:rsid w:val="00B462F1"/>
    <w:rsid w:val="00B55D32"/>
    <w:rsid w:val="00B563F3"/>
    <w:rsid w:val="00B6605B"/>
    <w:rsid w:val="00B664C7"/>
    <w:rsid w:val="00B6789D"/>
    <w:rsid w:val="00B72152"/>
    <w:rsid w:val="00B739F6"/>
    <w:rsid w:val="00B73D94"/>
    <w:rsid w:val="00B7527D"/>
    <w:rsid w:val="00B7709A"/>
    <w:rsid w:val="00B8088E"/>
    <w:rsid w:val="00B816EA"/>
    <w:rsid w:val="00B818D5"/>
    <w:rsid w:val="00B81A6C"/>
    <w:rsid w:val="00B81B0D"/>
    <w:rsid w:val="00B83956"/>
    <w:rsid w:val="00B85DE5"/>
    <w:rsid w:val="00B87D10"/>
    <w:rsid w:val="00B87F36"/>
    <w:rsid w:val="00B90F73"/>
    <w:rsid w:val="00B92EA3"/>
    <w:rsid w:val="00B93B59"/>
    <w:rsid w:val="00B9406A"/>
    <w:rsid w:val="00B94D1D"/>
    <w:rsid w:val="00B95B9D"/>
    <w:rsid w:val="00B9650A"/>
    <w:rsid w:val="00BA2280"/>
    <w:rsid w:val="00BA2864"/>
    <w:rsid w:val="00BA2A08"/>
    <w:rsid w:val="00BA2CBB"/>
    <w:rsid w:val="00BA56D2"/>
    <w:rsid w:val="00BA76E0"/>
    <w:rsid w:val="00BB2A25"/>
    <w:rsid w:val="00BB51E9"/>
    <w:rsid w:val="00BB5F07"/>
    <w:rsid w:val="00BB6077"/>
    <w:rsid w:val="00BC0F95"/>
    <w:rsid w:val="00BC0FDC"/>
    <w:rsid w:val="00BC3053"/>
    <w:rsid w:val="00BC4D2E"/>
    <w:rsid w:val="00BC5FBA"/>
    <w:rsid w:val="00BC6FD2"/>
    <w:rsid w:val="00BC7149"/>
    <w:rsid w:val="00BC72EC"/>
    <w:rsid w:val="00BC7307"/>
    <w:rsid w:val="00BD09F7"/>
    <w:rsid w:val="00BD0FB0"/>
    <w:rsid w:val="00BD2FC2"/>
    <w:rsid w:val="00BD48AC"/>
    <w:rsid w:val="00BD5F1A"/>
    <w:rsid w:val="00BD762F"/>
    <w:rsid w:val="00BD7A42"/>
    <w:rsid w:val="00BE1234"/>
    <w:rsid w:val="00BE2FA6"/>
    <w:rsid w:val="00BE333F"/>
    <w:rsid w:val="00BE3373"/>
    <w:rsid w:val="00BE49D7"/>
    <w:rsid w:val="00BE5419"/>
    <w:rsid w:val="00BE6440"/>
    <w:rsid w:val="00BE7406"/>
    <w:rsid w:val="00BE7603"/>
    <w:rsid w:val="00BE7AA6"/>
    <w:rsid w:val="00BF0D96"/>
    <w:rsid w:val="00BF1E13"/>
    <w:rsid w:val="00BF3279"/>
    <w:rsid w:val="00BF354E"/>
    <w:rsid w:val="00BF48BE"/>
    <w:rsid w:val="00BF4D11"/>
    <w:rsid w:val="00BF5A81"/>
    <w:rsid w:val="00BF74C7"/>
    <w:rsid w:val="00C0015A"/>
    <w:rsid w:val="00C015F1"/>
    <w:rsid w:val="00C01F33"/>
    <w:rsid w:val="00C02CC6"/>
    <w:rsid w:val="00C040F7"/>
    <w:rsid w:val="00C044AB"/>
    <w:rsid w:val="00C04DD2"/>
    <w:rsid w:val="00C05706"/>
    <w:rsid w:val="00C07377"/>
    <w:rsid w:val="00C07506"/>
    <w:rsid w:val="00C07C43"/>
    <w:rsid w:val="00C10478"/>
    <w:rsid w:val="00C10F3D"/>
    <w:rsid w:val="00C1131A"/>
    <w:rsid w:val="00C12107"/>
    <w:rsid w:val="00C14D4B"/>
    <w:rsid w:val="00C154BB"/>
    <w:rsid w:val="00C20C42"/>
    <w:rsid w:val="00C21BAB"/>
    <w:rsid w:val="00C22738"/>
    <w:rsid w:val="00C244D7"/>
    <w:rsid w:val="00C24539"/>
    <w:rsid w:val="00C26D72"/>
    <w:rsid w:val="00C26D9E"/>
    <w:rsid w:val="00C279B5"/>
    <w:rsid w:val="00C27AE9"/>
    <w:rsid w:val="00C27C45"/>
    <w:rsid w:val="00C307F8"/>
    <w:rsid w:val="00C338DE"/>
    <w:rsid w:val="00C36C34"/>
    <w:rsid w:val="00C3719D"/>
    <w:rsid w:val="00C40BC9"/>
    <w:rsid w:val="00C442B1"/>
    <w:rsid w:val="00C44BFE"/>
    <w:rsid w:val="00C45B86"/>
    <w:rsid w:val="00C46A94"/>
    <w:rsid w:val="00C4713E"/>
    <w:rsid w:val="00C51430"/>
    <w:rsid w:val="00C515B8"/>
    <w:rsid w:val="00C52C06"/>
    <w:rsid w:val="00C54995"/>
    <w:rsid w:val="00C54D41"/>
    <w:rsid w:val="00C60783"/>
    <w:rsid w:val="00C62A99"/>
    <w:rsid w:val="00C632A4"/>
    <w:rsid w:val="00C64672"/>
    <w:rsid w:val="00C65BC9"/>
    <w:rsid w:val="00C6628F"/>
    <w:rsid w:val="00C66B14"/>
    <w:rsid w:val="00C672E7"/>
    <w:rsid w:val="00C70697"/>
    <w:rsid w:val="00C7110B"/>
    <w:rsid w:val="00C72EF4"/>
    <w:rsid w:val="00C739B3"/>
    <w:rsid w:val="00C73A3F"/>
    <w:rsid w:val="00C75D2F"/>
    <w:rsid w:val="00C767BE"/>
    <w:rsid w:val="00C76E3C"/>
    <w:rsid w:val="00C7727D"/>
    <w:rsid w:val="00C77776"/>
    <w:rsid w:val="00C77795"/>
    <w:rsid w:val="00C80B95"/>
    <w:rsid w:val="00C81568"/>
    <w:rsid w:val="00C82455"/>
    <w:rsid w:val="00C82AE9"/>
    <w:rsid w:val="00C830DE"/>
    <w:rsid w:val="00C861BA"/>
    <w:rsid w:val="00C871A4"/>
    <w:rsid w:val="00C9027A"/>
    <w:rsid w:val="00C9068E"/>
    <w:rsid w:val="00C92B2C"/>
    <w:rsid w:val="00C93C4B"/>
    <w:rsid w:val="00C944AB"/>
    <w:rsid w:val="00C94819"/>
    <w:rsid w:val="00C94DB7"/>
    <w:rsid w:val="00C95293"/>
    <w:rsid w:val="00C95B40"/>
    <w:rsid w:val="00CA14BA"/>
    <w:rsid w:val="00CA1ED8"/>
    <w:rsid w:val="00CB09DB"/>
    <w:rsid w:val="00CB1F63"/>
    <w:rsid w:val="00CB23B1"/>
    <w:rsid w:val="00CB328C"/>
    <w:rsid w:val="00CB7170"/>
    <w:rsid w:val="00CC00DC"/>
    <w:rsid w:val="00CC040E"/>
    <w:rsid w:val="00CC111F"/>
    <w:rsid w:val="00CC2011"/>
    <w:rsid w:val="00CC3EA0"/>
    <w:rsid w:val="00CC5477"/>
    <w:rsid w:val="00CC64D0"/>
    <w:rsid w:val="00CC7B45"/>
    <w:rsid w:val="00CD0D4E"/>
    <w:rsid w:val="00CD1188"/>
    <w:rsid w:val="00CD127A"/>
    <w:rsid w:val="00CD2A2D"/>
    <w:rsid w:val="00CD2ED1"/>
    <w:rsid w:val="00CD337B"/>
    <w:rsid w:val="00CD48BC"/>
    <w:rsid w:val="00CD6EB6"/>
    <w:rsid w:val="00CD75BD"/>
    <w:rsid w:val="00CE0424"/>
    <w:rsid w:val="00CE1C43"/>
    <w:rsid w:val="00CE1F01"/>
    <w:rsid w:val="00CE3D86"/>
    <w:rsid w:val="00CE7561"/>
    <w:rsid w:val="00CF04BB"/>
    <w:rsid w:val="00CF1354"/>
    <w:rsid w:val="00CF1BAB"/>
    <w:rsid w:val="00CF3681"/>
    <w:rsid w:val="00CF3B1F"/>
    <w:rsid w:val="00CF3BF6"/>
    <w:rsid w:val="00CF625B"/>
    <w:rsid w:val="00CF6399"/>
    <w:rsid w:val="00CF687E"/>
    <w:rsid w:val="00D00AE7"/>
    <w:rsid w:val="00D021B9"/>
    <w:rsid w:val="00D0268A"/>
    <w:rsid w:val="00D0349B"/>
    <w:rsid w:val="00D03812"/>
    <w:rsid w:val="00D04411"/>
    <w:rsid w:val="00D0541D"/>
    <w:rsid w:val="00D10249"/>
    <w:rsid w:val="00D115C3"/>
    <w:rsid w:val="00D11897"/>
    <w:rsid w:val="00D13135"/>
    <w:rsid w:val="00D13E4E"/>
    <w:rsid w:val="00D17209"/>
    <w:rsid w:val="00D17692"/>
    <w:rsid w:val="00D20493"/>
    <w:rsid w:val="00D204F7"/>
    <w:rsid w:val="00D20BC8"/>
    <w:rsid w:val="00D237DE"/>
    <w:rsid w:val="00D239A7"/>
    <w:rsid w:val="00D23F47"/>
    <w:rsid w:val="00D261DE"/>
    <w:rsid w:val="00D31DCA"/>
    <w:rsid w:val="00D321B4"/>
    <w:rsid w:val="00D32A9B"/>
    <w:rsid w:val="00D330F5"/>
    <w:rsid w:val="00D33D95"/>
    <w:rsid w:val="00D34874"/>
    <w:rsid w:val="00D36813"/>
    <w:rsid w:val="00D36E71"/>
    <w:rsid w:val="00D3710F"/>
    <w:rsid w:val="00D37D87"/>
    <w:rsid w:val="00D40B33"/>
    <w:rsid w:val="00D421FE"/>
    <w:rsid w:val="00D4318F"/>
    <w:rsid w:val="00D438BF"/>
    <w:rsid w:val="00D43AAA"/>
    <w:rsid w:val="00D440F8"/>
    <w:rsid w:val="00D4465F"/>
    <w:rsid w:val="00D44667"/>
    <w:rsid w:val="00D46E03"/>
    <w:rsid w:val="00D4714F"/>
    <w:rsid w:val="00D51C17"/>
    <w:rsid w:val="00D53963"/>
    <w:rsid w:val="00D546FF"/>
    <w:rsid w:val="00D547DD"/>
    <w:rsid w:val="00D549F6"/>
    <w:rsid w:val="00D54DAA"/>
    <w:rsid w:val="00D55AD5"/>
    <w:rsid w:val="00D576CA"/>
    <w:rsid w:val="00D61AF5"/>
    <w:rsid w:val="00D63D22"/>
    <w:rsid w:val="00D652B5"/>
    <w:rsid w:val="00D66155"/>
    <w:rsid w:val="00D66CAA"/>
    <w:rsid w:val="00D70559"/>
    <w:rsid w:val="00D708B0"/>
    <w:rsid w:val="00D72590"/>
    <w:rsid w:val="00D74902"/>
    <w:rsid w:val="00D77B1D"/>
    <w:rsid w:val="00D8021F"/>
    <w:rsid w:val="00D80383"/>
    <w:rsid w:val="00D80AC8"/>
    <w:rsid w:val="00D823C6"/>
    <w:rsid w:val="00D84043"/>
    <w:rsid w:val="00D86CA3"/>
    <w:rsid w:val="00D871CE"/>
    <w:rsid w:val="00D87C6E"/>
    <w:rsid w:val="00D9196D"/>
    <w:rsid w:val="00D92982"/>
    <w:rsid w:val="00D95DF5"/>
    <w:rsid w:val="00DA1092"/>
    <w:rsid w:val="00DA2F32"/>
    <w:rsid w:val="00DA305E"/>
    <w:rsid w:val="00DA5417"/>
    <w:rsid w:val="00DA56E8"/>
    <w:rsid w:val="00DA5979"/>
    <w:rsid w:val="00DA5BFE"/>
    <w:rsid w:val="00DB0A9F"/>
    <w:rsid w:val="00DB1138"/>
    <w:rsid w:val="00DB377D"/>
    <w:rsid w:val="00DB6176"/>
    <w:rsid w:val="00DB650E"/>
    <w:rsid w:val="00DB6F5A"/>
    <w:rsid w:val="00DB6FED"/>
    <w:rsid w:val="00DC1C50"/>
    <w:rsid w:val="00DC1D37"/>
    <w:rsid w:val="00DC2D36"/>
    <w:rsid w:val="00DC35E7"/>
    <w:rsid w:val="00DC53EF"/>
    <w:rsid w:val="00DC5F8E"/>
    <w:rsid w:val="00DC664E"/>
    <w:rsid w:val="00DD3327"/>
    <w:rsid w:val="00DD6051"/>
    <w:rsid w:val="00DD6BE3"/>
    <w:rsid w:val="00DD6CA7"/>
    <w:rsid w:val="00DE1D3A"/>
    <w:rsid w:val="00DE3BDB"/>
    <w:rsid w:val="00DE5608"/>
    <w:rsid w:val="00DE58D0"/>
    <w:rsid w:val="00DE654F"/>
    <w:rsid w:val="00DE7A08"/>
    <w:rsid w:val="00DF0B6E"/>
    <w:rsid w:val="00DF15E0"/>
    <w:rsid w:val="00DF195B"/>
    <w:rsid w:val="00DF1EF3"/>
    <w:rsid w:val="00DF37A0"/>
    <w:rsid w:val="00DF41C8"/>
    <w:rsid w:val="00DF44D9"/>
    <w:rsid w:val="00DF5B71"/>
    <w:rsid w:val="00DF5EB5"/>
    <w:rsid w:val="00DF7229"/>
    <w:rsid w:val="00E00660"/>
    <w:rsid w:val="00E00BE1"/>
    <w:rsid w:val="00E05606"/>
    <w:rsid w:val="00E07842"/>
    <w:rsid w:val="00E110E7"/>
    <w:rsid w:val="00E116D3"/>
    <w:rsid w:val="00E11B20"/>
    <w:rsid w:val="00E1403A"/>
    <w:rsid w:val="00E140BE"/>
    <w:rsid w:val="00E14C07"/>
    <w:rsid w:val="00E14DE4"/>
    <w:rsid w:val="00E15FF9"/>
    <w:rsid w:val="00E17FA2"/>
    <w:rsid w:val="00E22330"/>
    <w:rsid w:val="00E23A26"/>
    <w:rsid w:val="00E24655"/>
    <w:rsid w:val="00E24F7E"/>
    <w:rsid w:val="00E3069F"/>
    <w:rsid w:val="00E30B5A"/>
    <w:rsid w:val="00E30DC9"/>
    <w:rsid w:val="00E30E5A"/>
    <w:rsid w:val="00E3123D"/>
    <w:rsid w:val="00E31461"/>
    <w:rsid w:val="00E31D43"/>
    <w:rsid w:val="00E325CE"/>
    <w:rsid w:val="00E32608"/>
    <w:rsid w:val="00E34188"/>
    <w:rsid w:val="00E3425A"/>
    <w:rsid w:val="00E34B6E"/>
    <w:rsid w:val="00E35559"/>
    <w:rsid w:val="00E35D73"/>
    <w:rsid w:val="00E35D9F"/>
    <w:rsid w:val="00E3723A"/>
    <w:rsid w:val="00E372B8"/>
    <w:rsid w:val="00E3747A"/>
    <w:rsid w:val="00E37860"/>
    <w:rsid w:val="00E40525"/>
    <w:rsid w:val="00E446F1"/>
    <w:rsid w:val="00E447D4"/>
    <w:rsid w:val="00E454EB"/>
    <w:rsid w:val="00E45DF7"/>
    <w:rsid w:val="00E46159"/>
    <w:rsid w:val="00E46886"/>
    <w:rsid w:val="00E47AEF"/>
    <w:rsid w:val="00E50DDC"/>
    <w:rsid w:val="00E52A05"/>
    <w:rsid w:val="00E53B75"/>
    <w:rsid w:val="00E54E3B"/>
    <w:rsid w:val="00E5597C"/>
    <w:rsid w:val="00E5652E"/>
    <w:rsid w:val="00E56BB1"/>
    <w:rsid w:val="00E573A9"/>
    <w:rsid w:val="00E57565"/>
    <w:rsid w:val="00E60A09"/>
    <w:rsid w:val="00E614B8"/>
    <w:rsid w:val="00E6293D"/>
    <w:rsid w:val="00E63838"/>
    <w:rsid w:val="00E642AE"/>
    <w:rsid w:val="00E64434"/>
    <w:rsid w:val="00E653B1"/>
    <w:rsid w:val="00E6552D"/>
    <w:rsid w:val="00E658F2"/>
    <w:rsid w:val="00E67C51"/>
    <w:rsid w:val="00E70801"/>
    <w:rsid w:val="00E72EFC"/>
    <w:rsid w:val="00E75038"/>
    <w:rsid w:val="00E752AF"/>
    <w:rsid w:val="00E758EC"/>
    <w:rsid w:val="00E77CCC"/>
    <w:rsid w:val="00E80A45"/>
    <w:rsid w:val="00E80F1F"/>
    <w:rsid w:val="00E8234C"/>
    <w:rsid w:val="00E83AA9"/>
    <w:rsid w:val="00E84956"/>
    <w:rsid w:val="00E854C6"/>
    <w:rsid w:val="00E85928"/>
    <w:rsid w:val="00E87822"/>
    <w:rsid w:val="00E87F44"/>
    <w:rsid w:val="00E90395"/>
    <w:rsid w:val="00E90E49"/>
    <w:rsid w:val="00E9132B"/>
    <w:rsid w:val="00E917F9"/>
    <w:rsid w:val="00E9291C"/>
    <w:rsid w:val="00E93FFE"/>
    <w:rsid w:val="00E940BF"/>
    <w:rsid w:val="00E944AB"/>
    <w:rsid w:val="00E94F8A"/>
    <w:rsid w:val="00E951EC"/>
    <w:rsid w:val="00E9752B"/>
    <w:rsid w:val="00EA47DE"/>
    <w:rsid w:val="00EA6002"/>
    <w:rsid w:val="00EA7A41"/>
    <w:rsid w:val="00EA7AB3"/>
    <w:rsid w:val="00EB031C"/>
    <w:rsid w:val="00EB077B"/>
    <w:rsid w:val="00EB2AF0"/>
    <w:rsid w:val="00EB49E3"/>
    <w:rsid w:val="00EB4EA2"/>
    <w:rsid w:val="00EB4F12"/>
    <w:rsid w:val="00EB5EE0"/>
    <w:rsid w:val="00EB7E86"/>
    <w:rsid w:val="00EC27C6"/>
    <w:rsid w:val="00EC2CEB"/>
    <w:rsid w:val="00EC385F"/>
    <w:rsid w:val="00EC4207"/>
    <w:rsid w:val="00EC5653"/>
    <w:rsid w:val="00EC71CE"/>
    <w:rsid w:val="00ED1006"/>
    <w:rsid w:val="00ED1628"/>
    <w:rsid w:val="00ED2AAD"/>
    <w:rsid w:val="00ED44FC"/>
    <w:rsid w:val="00ED68C3"/>
    <w:rsid w:val="00ED7D94"/>
    <w:rsid w:val="00EE2BAF"/>
    <w:rsid w:val="00EE38C6"/>
    <w:rsid w:val="00EE7299"/>
    <w:rsid w:val="00EF18FE"/>
    <w:rsid w:val="00EF2C61"/>
    <w:rsid w:val="00EF3C81"/>
    <w:rsid w:val="00EF4221"/>
    <w:rsid w:val="00EF4650"/>
    <w:rsid w:val="00EF4C30"/>
    <w:rsid w:val="00EF5787"/>
    <w:rsid w:val="00EF60D0"/>
    <w:rsid w:val="00F02FF7"/>
    <w:rsid w:val="00F0528D"/>
    <w:rsid w:val="00F06C67"/>
    <w:rsid w:val="00F06DFD"/>
    <w:rsid w:val="00F071D1"/>
    <w:rsid w:val="00F07533"/>
    <w:rsid w:val="00F10595"/>
    <w:rsid w:val="00F10629"/>
    <w:rsid w:val="00F13DB2"/>
    <w:rsid w:val="00F15CB6"/>
    <w:rsid w:val="00F15FA5"/>
    <w:rsid w:val="00F16178"/>
    <w:rsid w:val="00F17C71"/>
    <w:rsid w:val="00F209B7"/>
    <w:rsid w:val="00F20D33"/>
    <w:rsid w:val="00F2376F"/>
    <w:rsid w:val="00F243D8"/>
    <w:rsid w:val="00F2556B"/>
    <w:rsid w:val="00F262AD"/>
    <w:rsid w:val="00F26FFB"/>
    <w:rsid w:val="00F27B04"/>
    <w:rsid w:val="00F30828"/>
    <w:rsid w:val="00F313D6"/>
    <w:rsid w:val="00F341DA"/>
    <w:rsid w:val="00F36672"/>
    <w:rsid w:val="00F40F0C"/>
    <w:rsid w:val="00F42239"/>
    <w:rsid w:val="00F468B7"/>
    <w:rsid w:val="00F4766C"/>
    <w:rsid w:val="00F50548"/>
    <w:rsid w:val="00F507D1"/>
    <w:rsid w:val="00F50B3D"/>
    <w:rsid w:val="00F514BD"/>
    <w:rsid w:val="00F519CE"/>
    <w:rsid w:val="00F51ADA"/>
    <w:rsid w:val="00F52048"/>
    <w:rsid w:val="00F52FB5"/>
    <w:rsid w:val="00F56091"/>
    <w:rsid w:val="00F607C5"/>
    <w:rsid w:val="00F60DEA"/>
    <w:rsid w:val="00F62167"/>
    <w:rsid w:val="00F6302A"/>
    <w:rsid w:val="00F64C2B"/>
    <w:rsid w:val="00F651BE"/>
    <w:rsid w:val="00F67F53"/>
    <w:rsid w:val="00F703BE"/>
    <w:rsid w:val="00F7086B"/>
    <w:rsid w:val="00F711E4"/>
    <w:rsid w:val="00F71F69"/>
    <w:rsid w:val="00F72898"/>
    <w:rsid w:val="00F72B72"/>
    <w:rsid w:val="00F72EA9"/>
    <w:rsid w:val="00F74390"/>
    <w:rsid w:val="00F74B97"/>
    <w:rsid w:val="00F74BB9"/>
    <w:rsid w:val="00F74BD3"/>
    <w:rsid w:val="00F75582"/>
    <w:rsid w:val="00F762CA"/>
    <w:rsid w:val="00F76EFA"/>
    <w:rsid w:val="00F8033E"/>
    <w:rsid w:val="00F804BE"/>
    <w:rsid w:val="00F817CE"/>
    <w:rsid w:val="00F81AF6"/>
    <w:rsid w:val="00F8456C"/>
    <w:rsid w:val="00F848DD"/>
    <w:rsid w:val="00F84D56"/>
    <w:rsid w:val="00F859D8"/>
    <w:rsid w:val="00F8626D"/>
    <w:rsid w:val="00F86334"/>
    <w:rsid w:val="00F868F5"/>
    <w:rsid w:val="00F86DFC"/>
    <w:rsid w:val="00F9056A"/>
    <w:rsid w:val="00F90A97"/>
    <w:rsid w:val="00F90F8D"/>
    <w:rsid w:val="00F92782"/>
    <w:rsid w:val="00F93A82"/>
    <w:rsid w:val="00F93AA9"/>
    <w:rsid w:val="00F94ED7"/>
    <w:rsid w:val="00F96985"/>
    <w:rsid w:val="00F96FCD"/>
    <w:rsid w:val="00F974D0"/>
    <w:rsid w:val="00F97838"/>
    <w:rsid w:val="00FA2BB3"/>
    <w:rsid w:val="00FA4075"/>
    <w:rsid w:val="00FA6B56"/>
    <w:rsid w:val="00FA6C38"/>
    <w:rsid w:val="00FA78D9"/>
    <w:rsid w:val="00FB05A7"/>
    <w:rsid w:val="00FB216B"/>
    <w:rsid w:val="00FB3B05"/>
    <w:rsid w:val="00FB4C80"/>
    <w:rsid w:val="00FB6A6A"/>
    <w:rsid w:val="00FB7290"/>
    <w:rsid w:val="00FB7AE3"/>
    <w:rsid w:val="00FC1270"/>
    <w:rsid w:val="00FC4E33"/>
    <w:rsid w:val="00FC51D7"/>
    <w:rsid w:val="00FC5320"/>
    <w:rsid w:val="00FC5A75"/>
    <w:rsid w:val="00FC721F"/>
    <w:rsid w:val="00FC7429"/>
    <w:rsid w:val="00FC74B1"/>
    <w:rsid w:val="00FD07F6"/>
    <w:rsid w:val="00FD0EE5"/>
    <w:rsid w:val="00FD1EC8"/>
    <w:rsid w:val="00FD22E9"/>
    <w:rsid w:val="00FD2354"/>
    <w:rsid w:val="00FD28DA"/>
    <w:rsid w:val="00FD47ED"/>
    <w:rsid w:val="00FD50C6"/>
    <w:rsid w:val="00FD6026"/>
    <w:rsid w:val="00FD65AC"/>
    <w:rsid w:val="00FD6825"/>
    <w:rsid w:val="00FD74DB"/>
    <w:rsid w:val="00FD7660"/>
    <w:rsid w:val="00FE0655"/>
    <w:rsid w:val="00FE2365"/>
    <w:rsid w:val="00FE2ABC"/>
    <w:rsid w:val="00FE37D6"/>
    <w:rsid w:val="00FE4329"/>
    <w:rsid w:val="00FE4C7B"/>
    <w:rsid w:val="00FE7336"/>
    <w:rsid w:val="00FE787C"/>
    <w:rsid w:val="00FF1750"/>
    <w:rsid w:val="00FF2714"/>
    <w:rsid w:val="00FF44FC"/>
    <w:rsid w:val="00FF45A5"/>
    <w:rsid w:val="00FF5055"/>
    <w:rsid w:val="00FF5AB8"/>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72590"/>
    <w:pPr>
      <w:numPr>
        <w:ilvl w:val="1"/>
      </w:numPr>
      <w:pBdr>
        <w:top w:val="none" w:sz="0" w:space="0" w:color="auto"/>
      </w:pBdr>
      <w:tabs>
        <w:tab w:val="clear" w:pos="444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1429"/>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F60"/>
    <w:rPr>
      <w:rFonts w:ascii="Arial" w:hAnsi="Arial"/>
      <w:lang w:val="en-GB" w:eastAsia="zh-CN"/>
    </w:rPr>
  </w:style>
  <w:style w:type="character" w:customStyle="1" w:styleId="CommentTextChar">
    <w:name w:val="Comment Text Char"/>
    <w:basedOn w:val="DefaultParagraphFont"/>
    <w:link w:val="CommentText"/>
    <w:semiHidden/>
    <w:rsid w:val="00407C4B"/>
    <w:rPr>
      <w:rFonts w:ascii="Arial" w:hAnsi="Arial"/>
      <w:lang w:val="en-GB" w:eastAsia="zh-CN"/>
    </w:rPr>
  </w:style>
  <w:style w:type="paragraph" w:customStyle="1" w:styleId="Paragraph">
    <w:name w:val="Paragraph"/>
    <w:basedOn w:val="BodyText"/>
    <w:link w:val="ParagraphChar"/>
    <w:uiPriority w:val="99"/>
    <w:rsid w:val="00741264"/>
    <w:pPr>
      <w:overflowPunct/>
      <w:autoSpaceDE/>
      <w:autoSpaceDN/>
      <w:adjustRightInd/>
      <w:textAlignment w:val="auto"/>
    </w:pPr>
    <w:rPr>
      <w:sz w:val="24"/>
      <w:lang w:eastAsia="en-US"/>
    </w:rPr>
  </w:style>
  <w:style w:type="character" w:customStyle="1" w:styleId="ParagraphChar">
    <w:name w:val="Paragraph Char"/>
    <w:link w:val="Paragraph"/>
    <w:uiPriority w:val="99"/>
    <w:locked/>
    <w:rsid w:val="00741264"/>
    <w:rPr>
      <w:rFonts w:ascii="Arial" w:hAnsi="Arial"/>
      <w:sz w:val="24"/>
      <w:lang w:val="en-GB"/>
    </w:rPr>
  </w:style>
  <w:style w:type="character" w:styleId="Emphasis">
    <w:name w:val="Emphasis"/>
    <w:basedOn w:val="DefaultParagraphFont"/>
    <w:qFormat/>
    <w:rsid w:val="00075985"/>
    <w:rPr>
      <w:i/>
      <w:iCs/>
    </w:rPr>
  </w:style>
  <w:style w:type="character" w:customStyle="1" w:styleId="B1Zchn">
    <w:name w:val="B1 Zchn"/>
    <w:basedOn w:val="DefaultParagraphFont"/>
    <w:link w:val="B1"/>
    <w:rsid w:val="003A2983"/>
    <w:rPr>
      <w:rFonts w:ascii="Arial" w:hAnsi="Arial"/>
      <w:lang w:val="en-GB"/>
    </w:rPr>
  </w:style>
  <w:style w:type="character" w:customStyle="1" w:styleId="TFChar">
    <w:name w:val="TF Char"/>
    <w:basedOn w:val="DefaultParagraphFont"/>
    <w:link w:val="TF"/>
    <w:rsid w:val="007E298A"/>
    <w:rPr>
      <w:rFonts w:ascii="Arial" w:hAnsi="Arial"/>
      <w:b/>
      <w:lang w:val="en-GB"/>
    </w:rPr>
  </w:style>
  <w:style w:type="character" w:customStyle="1" w:styleId="THChar">
    <w:name w:val="TH Char"/>
    <w:link w:val="TH"/>
    <w:rsid w:val="007E298A"/>
    <w:rPr>
      <w:rFonts w:ascii="Arial" w:hAnsi="Arial"/>
      <w:b/>
      <w:lang w:val="en-GB"/>
    </w:rPr>
  </w:style>
  <w:style w:type="character" w:customStyle="1" w:styleId="B1Char1">
    <w:name w:val="B1 Char1"/>
    <w:locked/>
    <w:rsid w:val="00EA6002"/>
    <w:rPr>
      <w:rFonts w:ascii="Arial" w:hAnsi="Arial" w:cs="Arial"/>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72590"/>
    <w:pPr>
      <w:numPr>
        <w:ilvl w:val="1"/>
      </w:numPr>
      <w:pBdr>
        <w:top w:val="none" w:sz="0" w:space="0" w:color="auto"/>
      </w:pBdr>
      <w:tabs>
        <w:tab w:val="clear" w:pos="444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1429"/>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F60"/>
    <w:rPr>
      <w:rFonts w:ascii="Arial" w:hAnsi="Arial"/>
      <w:lang w:val="en-GB" w:eastAsia="zh-CN"/>
    </w:rPr>
  </w:style>
  <w:style w:type="character" w:customStyle="1" w:styleId="CommentTextChar">
    <w:name w:val="Comment Text Char"/>
    <w:basedOn w:val="DefaultParagraphFont"/>
    <w:link w:val="CommentText"/>
    <w:semiHidden/>
    <w:rsid w:val="00407C4B"/>
    <w:rPr>
      <w:rFonts w:ascii="Arial" w:hAnsi="Arial"/>
      <w:lang w:val="en-GB" w:eastAsia="zh-CN"/>
    </w:rPr>
  </w:style>
  <w:style w:type="paragraph" w:customStyle="1" w:styleId="Paragraph">
    <w:name w:val="Paragraph"/>
    <w:basedOn w:val="BodyText"/>
    <w:link w:val="ParagraphChar"/>
    <w:uiPriority w:val="99"/>
    <w:rsid w:val="00741264"/>
    <w:pPr>
      <w:overflowPunct/>
      <w:autoSpaceDE/>
      <w:autoSpaceDN/>
      <w:adjustRightInd/>
      <w:textAlignment w:val="auto"/>
    </w:pPr>
    <w:rPr>
      <w:sz w:val="24"/>
      <w:lang w:eastAsia="en-US"/>
    </w:rPr>
  </w:style>
  <w:style w:type="character" w:customStyle="1" w:styleId="ParagraphChar">
    <w:name w:val="Paragraph Char"/>
    <w:link w:val="Paragraph"/>
    <w:uiPriority w:val="99"/>
    <w:locked/>
    <w:rsid w:val="00741264"/>
    <w:rPr>
      <w:rFonts w:ascii="Arial" w:hAnsi="Arial"/>
      <w:sz w:val="24"/>
      <w:lang w:val="en-GB"/>
    </w:rPr>
  </w:style>
  <w:style w:type="character" w:styleId="Emphasis">
    <w:name w:val="Emphasis"/>
    <w:basedOn w:val="DefaultParagraphFont"/>
    <w:qFormat/>
    <w:rsid w:val="00075985"/>
    <w:rPr>
      <w:i/>
      <w:iCs/>
    </w:rPr>
  </w:style>
  <w:style w:type="character" w:customStyle="1" w:styleId="B1Zchn">
    <w:name w:val="B1 Zchn"/>
    <w:basedOn w:val="DefaultParagraphFont"/>
    <w:link w:val="B1"/>
    <w:rsid w:val="003A2983"/>
    <w:rPr>
      <w:rFonts w:ascii="Arial" w:hAnsi="Arial"/>
      <w:lang w:val="en-GB"/>
    </w:rPr>
  </w:style>
  <w:style w:type="character" w:customStyle="1" w:styleId="TFChar">
    <w:name w:val="TF Char"/>
    <w:basedOn w:val="DefaultParagraphFont"/>
    <w:link w:val="TF"/>
    <w:rsid w:val="007E298A"/>
    <w:rPr>
      <w:rFonts w:ascii="Arial" w:hAnsi="Arial"/>
      <w:b/>
      <w:lang w:val="en-GB"/>
    </w:rPr>
  </w:style>
  <w:style w:type="character" w:customStyle="1" w:styleId="THChar">
    <w:name w:val="TH Char"/>
    <w:link w:val="TH"/>
    <w:rsid w:val="007E298A"/>
    <w:rPr>
      <w:rFonts w:ascii="Arial" w:hAnsi="Arial"/>
      <w:b/>
      <w:lang w:val="en-GB"/>
    </w:rPr>
  </w:style>
  <w:style w:type="character" w:customStyle="1" w:styleId="B1Char1">
    <w:name w:val="B1 Char1"/>
    <w:locked/>
    <w:rsid w:val="00EA6002"/>
    <w:rPr>
      <w:rFonts w:ascii="Arial" w:hAnsi="Arial" w:cs="Arial"/>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906847">
      <w:bodyDiv w:val="1"/>
      <w:marLeft w:val="0"/>
      <w:marRight w:val="0"/>
      <w:marTop w:val="0"/>
      <w:marBottom w:val="0"/>
      <w:divBdr>
        <w:top w:val="none" w:sz="0" w:space="0" w:color="auto"/>
        <w:left w:val="none" w:sz="0" w:space="0" w:color="auto"/>
        <w:bottom w:val="none" w:sz="0" w:space="0" w:color="auto"/>
        <w:right w:val="none" w:sz="0" w:space="0" w:color="auto"/>
      </w:divBdr>
    </w:div>
    <w:div w:id="523834373">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54799802">
      <w:bodyDiv w:val="1"/>
      <w:marLeft w:val="0"/>
      <w:marRight w:val="0"/>
      <w:marTop w:val="0"/>
      <w:marBottom w:val="0"/>
      <w:divBdr>
        <w:top w:val="none" w:sz="0" w:space="0" w:color="auto"/>
        <w:left w:val="none" w:sz="0" w:space="0" w:color="auto"/>
        <w:bottom w:val="none" w:sz="0" w:space="0" w:color="auto"/>
        <w:right w:val="none" w:sz="0" w:space="0" w:color="auto"/>
      </w:divBdr>
    </w:div>
    <w:div w:id="914902767">
      <w:bodyDiv w:val="1"/>
      <w:marLeft w:val="0"/>
      <w:marRight w:val="0"/>
      <w:marTop w:val="0"/>
      <w:marBottom w:val="0"/>
      <w:divBdr>
        <w:top w:val="none" w:sz="0" w:space="0" w:color="auto"/>
        <w:left w:val="none" w:sz="0" w:space="0" w:color="auto"/>
        <w:bottom w:val="none" w:sz="0" w:space="0" w:color="auto"/>
        <w:right w:val="none" w:sz="0" w:space="0" w:color="auto"/>
      </w:divBdr>
    </w:div>
    <w:div w:id="931014550">
      <w:bodyDiv w:val="1"/>
      <w:marLeft w:val="0"/>
      <w:marRight w:val="0"/>
      <w:marTop w:val="0"/>
      <w:marBottom w:val="0"/>
      <w:divBdr>
        <w:top w:val="none" w:sz="0" w:space="0" w:color="auto"/>
        <w:left w:val="none" w:sz="0" w:space="0" w:color="auto"/>
        <w:bottom w:val="none" w:sz="0" w:space="0" w:color="auto"/>
        <w:right w:val="none" w:sz="0" w:space="0" w:color="auto"/>
      </w:divBdr>
      <w:divsChild>
        <w:div w:id="141118194">
          <w:marLeft w:val="274"/>
          <w:marRight w:val="0"/>
          <w:marTop w:val="72"/>
          <w:marBottom w:val="0"/>
          <w:divBdr>
            <w:top w:val="none" w:sz="0" w:space="0" w:color="auto"/>
            <w:left w:val="none" w:sz="0" w:space="0" w:color="auto"/>
            <w:bottom w:val="none" w:sz="0" w:space="0" w:color="auto"/>
            <w:right w:val="none" w:sz="0" w:space="0" w:color="auto"/>
          </w:divBdr>
        </w:div>
        <w:div w:id="433476032">
          <w:marLeft w:val="274"/>
          <w:marRight w:val="0"/>
          <w:marTop w:val="72"/>
          <w:marBottom w:val="0"/>
          <w:divBdr>
            <w:top w:val="none" w:sz="0" w:space="0" w:color="auto"/>
            <w:left w:val="none" w:sz="0" w:space="0" w:color="auto"/>
            <w:bottom w:val="none" w:sz="0" w:space="0" w:color="auto"/>
            <w:right w:val="none" w:sz="0" w:space="0" w:color="auto"/>
          </w:divBdr>
        </w:div>
        <w:div w:id="1276063720">
          <w:marLeft w:val="274"/>
          <w:marRight w:val="0"/>
          <w:marTop w:val="72"/>
          <w:marBottom w:val="0"/>
          <w:divBdr>
            <w:top w:val="none" w:sz="0" w:space="0" w:color="auto"/>
            <w:left w:val="none" w:sz="0" w:space="0" w:color="auto"/>
            <w:bottom w:val="none" w:sz="0" w:space="0" w:color="auto"/>
            <w:right w:val="none" w:sz="0" w:space="0" w:color="auto"/>
          </w:divBdr>
        </w:div>
        <w:div w:id="1974603210">
          <w:marLeft w:val="274"/>
          <w:marRight w:val="0"/>
          <w:marTop w:val="72"/>
          <w:marBottom w:val="0"/>
          <w:divBdr>
            <w:top w:val="none" w:sz="0" w:space="0" w:color="auto"/>
            <w:left w:val="none" w:sz="0" w:space="0" w:color="auto"/>
            <w:bottom w:val="none" w:sz="0" w:space="0" w:color="auto"/>
            <w:right w:val="none" w:sz="0" w:space="0" w:color="auto"/>
          </w:divBdr>
        </w:div>
      </w:divsChild>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014305931">
      <w:bodyDiv w:val="1"/>
      <w:marLeft w:val="0"/>
      <w:marRight w:val="0"/>
      <w:marTop w:val="0"/>
      <w:marBottom w:val="0"/>
      <w:divBdr>
        <w:top w:val="none" w:sz="0" w:space="0" w:color="auto"/>
        <w:left w:val="none" w:sz="0" w:space="0" w:color="auto"/>
        <w:bottom w:val="none" w:sz="0" w:space="0" w:color="auto"/>
        <w:right w:val="none" w:sz="0" w:space="0" w:color="auto"/>
      </w:divBdr>
    </w:div>
    <w:div w:id="1041974456">
      <w:bodyDiv w:val="1"/>
      <w:marLeft w:val="0"/>
      <w:marRight w:val="0"/>
      <w:marTop w:val="0"/>
      <w:marBottom w:val="0"/>
      <w:divBdr>
        <w:top w:val="none" w:sz="0" w:space="0" w:color="auto"/>
        <w:left w:val="none" w:sz="0" w:space="0" w:color="auto"/>
        <w:bottom w:val="none" w:sz="0" w:space="0" w:color="auto"/>
        <w:right w:val="none" w:sz="0" w:space="0" w:color="auto"/>
      </w:divBdr>
      <w:divsChild>
        <w:div w:id="829910362">
          <w:marLeft w:val="274"/>
          <w:marRight w:val="0"/>
          <w:marTop w:val="115"/>
          <w:marBottom w:val="0"/>
          <w:divBdr>
            <w:top w:val="none" w:sz="0" w:space="0" w:color="auto"/>
            <w:left w:val="none" w:sz="0" w:space="0" w:color="auto"/>
            <w:bottom w:val="none" w:sz="0" w:space="0" w:color="auto"/>
            <w:right w:val="none" w:sz="0" w:space="0" w:color="auto"/>
          </w:divBdr>
        </w:div>
        <w:div w:id="166092118">
          <w:marLeft w:val="835"/>
          <w:marRight w:val="0"/>
          <w:marTop w:val="96"/>
          <w:marBottom w:val="0"/>
          <w:divBdr>
            <w:top w:val="none" w:sz="0" w:space="0" w:color="auto"/>
            <w:left w:val="none" w:sz="0" w:space="0" w:color="auto"/>
            <w:bottom w:val="none" w:sz="0" w:space="0" w:color="auto"/>
            <w:right w:val="none" w:sz="0" w:space="0" w:color="auto"/>
          </w:divBdr>
        </w:div>
        <w:div w:id="1982809808">
          <w:marLeft w:val="274"/>
          <w:marRight w:val="0"/>
          <w:marTop w:val="115"/>
          <w:marBottom w:val="0"/>
          <w:divBdr>
            <w:top w:val="none" w:sz="0" w:space="0" w:color="auto"/>
            <w:left w:val="none" w:sz="0" w:space="0" w:color="auto"/>
            <w:bottom w:val="none" w:sz="0" w:space="0" w:color="auto"/>
            <w:right w:val="none" w:sz="0" w:space="0" w:color="auto"/>
          </w:divBdr>
        </w:div>
        <w:div w:id="801264976">
          <w:marLeft w:val="835"/>
          <w:marRight w:val="0"/>
          <w:marTop w:val="96"/>
          <w:marBottom w:val="0"/>
          <w:divBdr>
            <w:top w:val="none" w:sz="0" w:space="0" w:color="auto"/>
            <w:left w:val="none" w:sz="0" w:space="0" w:color="auto"/>
            <w:bottom w:val="none" w:sz="0" w:space="0" w:color="auto"/>
            <w:right w:val="none" w:sz="0" w:space="0" w:color="auto"/>
          </w:divBdr>
        </w:div>
        <w:div w:id="763301726">
          <w:marLeft w:val="835"/>
          <w:marRight w:val="0"/>
          <w:marTop w:val="96"/>
          <w:marBottom w:val="0"/>
          <w:divBdr>
            <w:top w:val="none" w:sz="0" w:space="0" w:color="auto"/>
            <w:left w:val="none" w:sz="0" w:space="0" w:color="auto"/>
            <w:bottom w:val="none" w:sz="0" w:space="0" w:color="auto"/>
            <w:right w:val="none" w:sz="0" w:space="0" w:color="auto"/>
          </w:divBdr>
        </w:div>
        <w:div w:id="1575892113">
          <w:marLeft w:val="274"/>
          <w:marRight w:val="0"/>
          <w:marTop w:val="115"/>
          <w:marBottom w:val="0"/>
          <w:divBdr>
            <w:top w:val="none" w:sz="0" w:space="0" w:color="auto"/>
            <w:left w:val="none" w:sz="0" w:space="0" w:color="auto"/>
            <w:bottom w:val="none" w:sz="0" w:space="0" w:color="auto"/>
            <w:right w:val="none" w:sz="0" w:space="0" w:color="auto"/>
          </w:divBdr>
        </w:div>
        <w:div w:id="2041666568">
          <w:marLeft w:val="274"/>
          <w:marRight w:val="0"/>
          <w:marTop w:val="115"/>
          <w:marBottom w:val="0"/>
          <w:divBdr>
            <w:top w:val="none" w:sz="0" w:space="0" w:color="auto"/>
            <w:left w:val="none" w:sz="0" w:space="0" w:color="auto"/>
            <w:bottom w:val="none" w:sz="0" w:space="0" w:color="auto"/>
            <w:right w:val="none" w:sz="0" w:space="0" w:color="auto"/>
          </w:divBdr>
        </w:div>
      </w:divsChild>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75428507">
      <w:bodyDiv w:val="1"/>
      <w:marLeft w:val="0"/>
      <w:marRight w:val="0"/>
      <w:marTop w:val="0"/>
      <w:marBottom w:val="0"/>
      <w:divBdr>
        <w:top w:val="none" w:sz="0" w:space="0" w:color="auto"/>
        <w:left w:val="none" w:sz="0" w:space="0" w:color="auto"/>
        <w:bottom w:val="none" w:sz="0" w:space="0" w:color="auto"/>
        <w:right w:val="none" w:sz="0" w:space="0" w:color="auto"/>
      </w:divBdr>
      <w:divsChild>
        <w:div w:id="10962658">
          <w:marLeft w:val="1411"/>
          <w:marRight w:val="0"/>
          <w:marTop w:val="58"/>
          <w:marBottom w:val="0"/>
          <w:divBdr>
            <w:top w:val="none" w:sz="0" w:space="0" w:color="auto"/>
            <w:left w:val="none" w:sz="0" w:space="0" w:color="auto"/>
            <w:bottom w:val="none" w:sz="0" w:space="0" w:color="auto"/>
            <w:right w:val="none" w:sz="0" w:space="0" w:color="auto"/>
          </w:divBdr>
        </w:div>
        <w:div w:id="307901266">
          <w:marLeft w:val="835"/>
          <w:marRight w:val="0"/>
          <w:marTop w:val="58"/>
          <w:marBottom w:val="0"/>
          <w:divBdr>
            <w:top w:val="none" w:sz="0" w:space="0" w:color="auto"/>
            <w:left w:val="none" w:sz="0" w:space="0" w:color="auto"/>
            <w:bottom w:val="none" w:sz="0" w:space="0" w:color="auto"/>
            <w:right w:val="none" w:sz="0" w:space="0" w:color="auto"/>
          </w:divBdr>
        </w:div>
        <w:div w:id="583993699">
          <w:marLeft w:val="1411"/>
          <w:marRight w:val="0"/>
          <w:marTop w:val="58"/>
          <w:marBottom w:val="0"/>
          <w:divBdr>
            <w:top w:val="none" w:sz="0" w:space="0" w:color="auto"/>
            <w:left w:val="none" w:sz="0" w:space="0" w:color="auto"/>
            <w:bottom w:val="none" w:sz="0" w:space="0" w:color="auto"/>
            <w:right w:val="none" w:sz="0" w:space="0" w:color="auto"/>
          </w:divBdr>
        </w:div>
        <w:div w:id="688680721">
          <w:marLeft w:val="835"/>
          <w:marRight w:val="0"/>
          <w:marTop w:val="58"/>
          <w:marBottom w:val="0"/>
          <w:divBdr>
            <w:top w:val="none" w:sz="0" w:space="0" w:color="auto"/>
            <w:left w:val="none" w:sz="0" w:space="0" w:color="auto"/>
            <w:bottom w:val="none" w:sz="0" w:space="0" w:color="auto"/>
            <w:right w:val="none" w:sz="0" w:space="0" w:color="auto"/>
          </w:divBdr>
        </w:div>
        <w:div w:id="812864858">
          <w:marLeft w:val="274"/>
          <w:marRight w:val="0"/>
          <w:marTop w:val="86"/>
          <w:marBottom w:val="0"/>
          <w:divBdr>
            <w:top w:val="none" w:sz="0" w:space="0" w:color="auto"/>
            <w:left w:val="none" w:sz="0" w:space="0" w:color="auto"/>
            <w:bottom w:val="none" w:sz="0" w:space="0" w:color="auto"/>
            <w:right w:val="none" w:sz="0" w:space="0" w:color="auto"/>
          </w:divBdr>
        </w:div>
        <w:div w:id="818379542">
          <w:marLeft w:val="1411"/>
          <w:marRight w:val="0"/>
          <w:marTop w:val="58"/>
          <w:marBottom w:val="0"/>
          <w:divBdr>
            <w:top w:val="none" w:sz="0" w:space="0" w:color="auto"/>
            <w:left w:val="none" w:sz="0" w:space="0" w:color="auto"/>
            <w:bottom w:val="none" w:sz="0" w:space="0" w:color="auto"/>
            <w:right w:val="none" w:sz="0" w:space="0" w:color="auto"/>
          </w:divBdr>
        </w:div>
        <w:div w:id="1161577442">
          <w:marLeft w:val="1411"/>
          <w:marRight w:val="0"/>
          <w:marTop w:val="58"/>
          <w:marBottom w:val="0"/>
          <w:divBdr>
            <w:top w:val="none" w:sz="0" w:space="0" w:color="auto"/>
            <w:left w:val="none" w:sz="0" w:space="0" w:color="auto"/>
            <w:bottom w:val="none" w:sz="0" w:space="0" w:color="auto"/>
            <w:right w:val="none" w:sz="0" w:space="0" w:color="auto"/>
          </w:divBdr>
        </w:div>
        <w:div w:id="1771046227">
          <w:marLeft w:val="835"/>
          <w:marRight w:val="0"/>
          <w:marTop w:val="58"/>
          <w:marBottom w:val="0"/>
          <w:divBdr>
            <w:top w:val="none" w:sz="0" w:space="0" w:color="auto"/>
            <w:left w:val="none" w:sz="0" w:space="0" w:color="auto"/>
            <w:bottom w:val="none" w:sz="0" w:space="0" w:color="auto"/>
            <w:right w:val="none" w:sz="0" w:space="0" w:color="auto"/>
          </w:divBdr>
        </w:div>
      </w:divsChild>
    </w:div>
    <w:div w:id="1416899132">
      <w:bodyDiv w:val="1"/>
      <w:marLeft w:val="0"/>
      <w:marRight w:val="0"/>
      <w:marTop w:val="0"/>
      <w:marBottom w:val="0"/>
      <w:divBdr>
        <w:top w:val="none" w:sz="0" w:space="0" w:color="auto"/>
        <w:left w:val="none" w:sz="0" w:space="0" w:color="auto"/>
        <w:bottom w:val="none" w:sz="0" w:space="0" w:color="auto"/>
        <w:right w:val="none" w:sz="0" w:space="0" w:color="auto"/>
      </w:divBdr>
      <w:divsChild>
        <w:div w:id="20056404">
          <w:marLeft w:val="1411"/>
          <w:marRight w:val="0"/>
          <w:marTop w:val="58"/>
          <w:marBottom w:val="0"/>
          <w:divBdr>
            <w:top w:val="none" w:sz="0" w:space="0" w:color="auto"/>
            <w:left w:val="none" w:sz="0" w:space="0" w:color="auto"/>
            <w:bottom w:val="none" w:sz="0" w:space="0" w:color="auto"/>
            <w:right w:val="none" w:sz="0" w:space="0" w:color="auto"/>
          </w:divBdr>
        </w:div>
        <w:div w:id="668482427">
          <w:marLeft w:val="835"/>
          <w:marRight w:val="0"/>
          <w:marTop w:val="58"/>
          <w:marBottom w:val="0"/>
          <w:divBdr>
            <w:top w:val="none" w:sz="0" w:space="0" w:color="auto"/>
            <w:left w:val="none" w:sz="0" w:space="0" w:color="auto"/>
            <w:bottom w:val="none" w:sz="0" w:space="0" w:color="auto"/>
            <w:right w:val="none" w:sz="0" w:space="0" w:color="auto"/>
          </w:divBdr>
        </w:div>
        <w:div w:id="715668287">
          <w:marLeft w:val="1411"/>
          <w:marRight w:val="0"/>
          <w:marTop w:val="58"/>
          <w:marBottom w:val="0"/>
          <w:divBdr>
            <w:top w:val="none" w:sz="0" w:space="0" w:color="auto"/>
            <w:left w:val="none" w:sz="0" w:space="0" w:color="auto"/>
            <w:bottom w:val="none" w:sz="0" w:space="0" w:color="auto"/>
            <w:right w:val="none" w:sz="0" w:space="0" w:color="auto"/>
          </w:divBdr>
        </w:div>
        <w:div w:id="1005330329">
          <w:marLeft w:val="1411"/>
          <w:marRight w:val="0"/>
          <w:marTop w:val="58"/>
          <w:marBottom w:val="0"/>
          <w:divBdr>
            <w:top w:val="none" w:sz="0" w:space="0" w:color="auto"/>
            <w:left w:val="none" w:sz="0" w:space="0" w:color="auto"/>
            <w:bottom w:val="none" w:sz="0" w:space="0" w:color="auto"/>
            <w:right w:val="none" w:sz="0" w:space="0" w:color="auto"/>
          </w:divBdr>
        </w:div>
        <w:div w:id="1018002313">
          <w:marLeft w:val="274"/>
          <w:marRight w:val="0"/>
          <w:marTop w:val="86"/>
          <w:marBottom w:val="0"/>
          <w:divBdr>
            <w:top w:val="none" w:sz="0" w:space="0" w:color="auto"/>
            <w:left w:val="none" w:sz="0" w:space="0" w:color="auto"/>
            <w:bottom w:val="none" w:sz="0" w:space="0" w:color="auto"/>
            <w:right w:val="none" w:sz="0" w:space="0" w:color="auto"/>
          </w:divBdr>
        </w:div>
        <w:div w:id="1143278569">
          <w:marLeft w:val="835"/>
          <w:marRight w:val="0"/>
          <w:marTop w:val="58"/>
          <w:marBottom w:val="0"/>
          <w:divBdr>
            <w:top w:val="none" w:sz="0" w:space="0" w:color="auto"/>
            <w:left w:val="none" w:sz="0" w:space="0" w:color="auto"/>
            <w:bottom w:val="none" w:sz="0" w:space="0" w:color="auto"/>
            <w:right w:val="none" w:sz="0" w:space="0" w:color="auto"/>
          </w:divBdr>
        </w:div>
        <w:div w:id="1352417543">
          <w:marLeft w:val="1411"/>
          <w:marRight w:val="0"/>
          <w:marTop w:val="58"/>
          <w:marBottom w:val="0"/>
          <w:divBdr>
            <w:top w:val="none" w:sz="0" w:space="0" w:color="auto"/>
            <w:left w:val="none" w:sz="0" w:space="0" w:color="auto"/>
            <w:bottom w:val="none" w:sz="0" w:space="0" w:color="auto"/>
            <w:right w:val="none" w:sz="0" w:space="0" w:color="auto"/>
          </w:divBdr>
        </w:div>
        <w:div w:id="1567185244">
          <w:marLeft w:val="835"/>
          <w:marRight w:val="0"/>
          <w:marTop w:val="58"/>
          <w:marBottom w:val="0"/>
          <w:divBdr>
            <w:top w:val="none" w:sz="0" w:space="0" w:color="auto"/>
            <w:left w:val="none" w:sz="0" w:space="0" w:color="auto"/>
            <w:bottom w:val="none" w:sz="0" w:space="0" w:color="auto"/>
            <w:right w:val="none" w:sz="0" w:space="0" w:color="auto"/>
          </w:divBdr>
        </w:div>
      </w:divsChild>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0656194">
      <w:bodyDiv w:val="1"/>
      <w:marLeft w:val="0"/>
      <w:marRight w:val="0"/>
      <w:marTop w:val="0"/>
      <w:marBottom w:val="0"/>
      <w:divBdr>
        <w:top w:val="none" w:sz="0" w:space="0" w:color="auto"/>
        <w:left w:val="none" w:sz="0" w:space="0" w:color="auto"/>
        <w:bottom w:val="none" w:sz="0" w:space="0" w:color="auto"/>
        <w:right w:val="none" w:sz="0" w:space="0" w:color="auto"/>
      </w:divBdr>
      <w:divsChild>
        <w:div w:id="151944606">
          <w:marLeft w:val="835"/>
          <w:marRight w:val="0"/>
          <w:marTop w:val="82"/>
          <w:marBottom w:val="0"/>
          <w:divBdr>
            <w:top w:val="none" w:sz="0" w:space="0" w:color="auto"/>
            <w:left w:val="none" w:sz="0" w:space="0" w:color="auto"/>
            <w:bottom w:val="none" w:sz="0" w:space="0" w:color="auto"/>
            <w:right w:val="none" w:sz="0" w:space="0" w:color="auto"/>
          </w:divBdr>
        </w:div>
        <w:div w:id="1002243648">
          <w:marLeft w:val="835"/>
          <w:marRight w:val="0"/>
          <w:marTop w:val="82"/>
          <w:marBottom w:val="0"/>
          <w:divBdr>
            <w:top w:val="none" w:sz="0" w:space="0" w:color="auto"/>
            <w:left w:val="none" w:sz="0" w:space="0" w:color="auto"/>
            <w:bottom w:val="none" w:sz="0" w:space="0" w:color="auto"/>
            <w:right w:val="none" w:sz="0" w:space="0" w:color="auto"/>
          </w:divBdr>
        </w:div>
        <w:div w:id="2126849928">
          <w:marLeft w:val="835"/>
          <w:marRight w:val="0"/>
          <w:marTop w:val="82"/>
          <w:marBottom w:val="0"/>
          <w:divBdr>
            <w:top w:val="none" w:sz="0" w:space="0" w:color="auto"/>
            <w:left w:val="none" w:sz="0" w:space="0" w:color="auto"/>
            <w:bottom w:val="none" w:sz="0" w:space="0" w:color="auto"/>
            <w:right w:val="none" w:sz="0" w:space="0" w:color="auto"/>
          </w:divBdr>
        </w:div>
      </w:divsChild>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01122522">
      <w:bodyDiv w:val="1"/>
      <w:marLeft w:val="0"/>
      <w:marRight w:val="0"/>
      <w:marTop w:val="0"/>
      <w:marBottom w:val="0"/>
      <w:divBdr>
        <w:top w:val="none" w:sz="0" w:space="0" w:color="auto"/>
        <w:left w:val="none" w:sz="0" w:space="0" w:color="auto"/>
        <w:bottom w:val="none" w:sz="0" w:space="0" w:color="auto"/>
        <w:right w:val="none" w:sz="0" w:space="0" w:color="auto"/>
      </w:divBdr>
      <w:divsChild>
        <w:div w:id="144586218">
          <w:marLeft w:val="274"/>
          <w:marRight w:val="0"/>
          <w:marTop w:val="72"/>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 w:id="2134326677">
      <w:bodyDiv w:val="1"/>
      <w:marLeft w:val="0"/>
      <w:marRight w:val="0"/>
      <w:marTop w:val="0"/>
      <w:marBottom w:val="0"/>
      <w:divBdr>
        <w:top w:val="none" w:sz="0" w:space="0" w:color="auto"/>
        <w:left w:val="none" w:sz="0" w:space="0" w:color="auto"/>
        <w:bottom w:val="none" w:sz="0" w:space="0" w:color="auto"/>
        <w:right w:val="none" w:sz="0" w:space="0" w:color="auto"/>
      </w:divBdr>
      <w:divsChild>
        <w:div w:id="215091531">
          <w:marLeft w:val="274"/>
          <w:marRight w:val="0"/>
          <w:marTop w:val="115"/>
          <w:marBottom w:val="0"/>
          <w:divBdr>
            <w:top w:val="none" w:sz="0" w:space="0" w:color="auto"/>
            <w:left w:val="none" w:sz="0" w:space="0" w:color="auto"/>
            <w:bottom w:val="none" w:sz="0" w:space="0" w:color="auto"/>
            <w:right w:val="none" w:sz="0" w:space="0" w:color="auto"/>
          </w:divBdr>
        </w:div>
        <w:div w:id="1128015788">
          <w:marLeft w:val="835"/>
          <w:marRight w:val="0"/>
          <w:marTop w:val="96"/>
          <w:marBottom w:val="0"/>
          <w:divBdr>
            <w:top w:val="none" w:sz="0" w:space="0" w:color="auto"/>
            <w:left w:val="none" w:sz="0" w:space="0" w:color="auto"/>
            <w:bottom w:val="none" w:sz="0" w:space="0" w:color="auto"/>
            <w:right w:val="none" w:sz="0" w:space="0" w:color="auto"/>
          </w:divBdr>
        </w:div>
        <w:div w:id="1942371404">
          <w:marLeft w:val="274"/>
          <w:marRight w:val="0"/>
          <w:marTop w:val="115"/>
          <w:marBottom w:val="0"/>
          <w:divBdr>
            <w:top w:val="none" w:sz="0" w:space="0" w:color="auto"/>
            <w:left w:val="none" w:sz="0" w:space="0" w:color="auto"/>
            <w:bottom w:val="none" w:sz="0" w:space="0" w:color="auto"/>
            <w:right w:val="none" w:sz="0" w:space="0" w:color="auto"/>
          </w:divBdr>
        </w:div>
        <w:div w:id="367997225">
          <w:marLeft w:val="835"/>
          <w:marRight w:val="0"/>
          <w:marTop w:val="96"/>
          <w:marBottom w:val="0"/>
          <w:divBdr>
            <w:top w:val="none" w:sz="0" w:space="0" w:color="auto"/>
            <w:left w:val="none" w:sz="0" w:space="0" w:color="auto"/>
            <w:bottom w:val="none" w:sz="0" w:space="0" w:color="auto"/>
            <w:right w:val="none" w:sz="0" w:space="0" w:color="auto"/>
          </w:divBdr>
        </w:div>
        <w:div w:id="1576166408">
          <w:marLeft w:val="835"/>
          <w:marRight w:val="0"/>
          <w:marTop w:val="96"/>
          <w:marBottom w:val="0"/>
          <w:divBdr>
            <w:top w:val="none" w:sz="0" w:space="0" w:color="auto"/>
            <w:left w:val="none" w:sz="0" w:space="0" w:color="auto"/>
            <w:bottom w:val="none" w:sz="0" w:space="0" w:color="auto"/>
            <w:right w:val="none" w:sz="0" w:space="0" w:color="auto"/>
          </w:divBdr>
        </w:div>
        <w:div w:id="1181973325">
          <w:marLeft w:val="274"/>
          <w:marRight w:val="0"/>
          <w:marTop w:val="115"/>
          <w:marBottom w:val="0"/>
          <w:divBdr>
            <w:top w:val="none" w:sz="0" w:space="0" w:color="auto"/>
            <w:left w:val="none" w:sz="0" w:space="0" w:color="auto"/>
            <w:bottom w:val="none" w:sz="0" w:space="0" w:color="auto"/>
            <w:right w:val="none" w:sz="0" w:space="0" w:color="auto"/>
          </w:divBdr>
        </w:div>
        <w:div w:id="140654439">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Microsoft_Visio_2003-2010_Drawing4444444.vsd"/><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Microsoft_Visio_2003-2010_Drawing2222222.vsd"/><Relationship Id="rId25" Type="http://schemas.openxmlformats.org/officeDocument/2006/relationships/header" Target="header1.xml"/><Relationship Id="rId33"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metis-ii.5g-ppp.eu/wp-content/uploads/5G-PPP-METIS-II-5G-RAN-Architecture-White-Paper.pdf"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1111111.vsd"/><Relationship Id="rId23" Type="http://schemas.openxmlformats.org/officeDocument/2006/relationships/oleObject" Target="embeddings/Microsoft_Visio_2003-2010_Drawing5555555.vsd"/><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3333333.vsd"/><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SAQRZK7RPU5V-1-1004</_dlc_DocId>
    <_dlc_DocIdUrl xmlns="08b2df90-05d3-4030-90d4-c9feeb4a1cd9">
      <Url>https://ericoll.internal.ericsson.com/sites/NSA/_layouts/DocIdRedir.aspx?ID=SAQRZK7RPU5V-1-1004</Url>
      <Description>SAQRZK7RPU5V-1-1004</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E4382DF1-D622-4C08-B8C8-F7B1C2C91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68</TotalTime>
  <Pages>5</Pages>
  <Words>2167</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 Da Silva</cp:lastModifiedBy>
  <cp:revision>15</cp:revision>
  <cp:lastPrinted>2016-03-02T07:21:00Z</cp:lastPrinted>
  <dcterms:created xsi:type="dcterms:W3CDTF">2016-05-08T19:28:00Z</dcterms:created>
  <dcterms:modified xsi:type="dcterms:W3CDTF">2016-05-13T23:43:00Z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24af571c-3691-4b81-92af-c6631a98628f</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